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8830A" w14:textId="0697F9FE" w:rsidR="00AA07C0" w:rsidRDefault="00AA07C0" w:rsidP="00AA07C0">
      <w:pPr>
        <w:tabs>
          <w:tab w:val="left" w:pos="5103"/>
        </w:tabs>
        <w:suppressAutoHyphens/>
        <w:spacing w:line="360" w:lineRule="auto"/>
        <w:ind w:left="-284" w:firstLine="960"/>
        <w:rPr>
          <w:rFonts w:ascii="Times New Roman" w:eastAsia="Calibri" w:hAnsi="Times New Roman" w:cs="Times New Roman"/>
          <w:b/>
          <w:kern w:val="1"/>
          <w:lang w:eastAsia="ar-SA"/>
        </w:rPr>
      </w:pPr>
      <w:r>
        <w:rPr>
          <w:noProof/>
        </w:rPr>
        <w:drawing>
          <wp:inline distT="0" distB="0" distL="0" distR="0" wp14:anchorId="0F5E3335" wp14:editId="138878A9">
            <wp:extent cx="5758180" cy="854068"/>
            <wp:effectExtent l="0" t="0" r="0" b="0"/>
            <wp:docPr id="1278336357" name="Obraz 1" descr="Obraz zawierający tekst, Czcionka, zrzut ekran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08630" name="Obraz 1" descr="Obraz zawierający tekst, Czcionka, zrzut ekranu&#10;&#10;Zawartość wygenerowana przez sztuczną inteligencję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0106" cy="86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AF10B" w14:textId="77777777" w:rsidR="00A61DEA" w:rsidRPr="00EC0454" w:rsidRDefault="00A61DEA" w:rsidP="00A61DEA">
      <w:pPr>
        <w:rPr>
          <w:rFonts w:ascii="Times New Roman" w:hAnsi="Times New Roman" w:cs="Times New Roman"/>
        </w:rPr>
      </w:pPr>
    </w:p>
    <w:p w14:paraId="4E7C5D40" w14:textId="77777777" w:rsidR="00A61DEA" w:rsidRPr="00A61DEA" w:rsidRDefault="00A61DEA" w:rsidP="00A61DEA">
      <w:pPr>
        <w:pStyle w:val="Nagwek1"/>
        <w:jc w:val="righ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61DEA">
        <w:rPr>
          <w:rFonts w:ascii="Times New Roman" w:hAnsi="Times New Roman" w:cs="Times New Roman"/>
          <w:b/>
          <w:bCs/>
          <w:color w:val="auto"/>
          <w:sz w:val="22"/>
          <w:szCs w:val="22"/>
        </w:rPr>
        <w:t>Załącznik Nr 10 do SWZ</w:t>
      </w:r>
    </w:p>
    <w:p w14:paraId="1B1A4CB8" w14:textId="77777777" w:rsidR="00A61DEA" w:rsidRPr="00EC0454" w:rsidRDefault="00A61DEA" w:rsidP="00A61DEA">
      <w:pPr>
        <w:spacing w:line="360" w:lineRule="auto"/>
        <w:ind w:left="567"/>
        <w:rPr>
          <w:rFonts w:ascii="Times New Roman" w:hAnsi="Times New Roman" w:cs="Times New Roman"/>
          <w:b/>
        </w:rPr>
      </w:pPr>
    </w:p>
    <w:p w14:paraId="5AFDEC0F" w14:textId="77777777" w:rsidR="00A61DEA" w:rsidRPr="00A61DEA" w:rsidRDefault="00A61DEA" w:rsidP="00A61DEA">
      <w:pPr>
        <w:pStyle w:val="Nagwek2"/>
        <w:ind w:left="567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61DEA">
        <w:rPr>
          <w:rFonts w:ascii="Times New Roman" w:hAnsi="Times New Roman" w:cs="Times New Roman"/>
          <w:b/>
          <w:bCs/>
          <w:color w:val="auto"/>
          <w:sz w:val="22"/>
          <w:szCs w:val="22"/>
        </w:rPr>
        <w:t>OPIS PRZEDMIOTU ZAMÓWIENIA</w:t>
      </w:r>
    </w:p>
    <w:p w14:paraId="5A55E4A6" w14:textId="77777777" w:rsidR="00A61DEA" w:rsidRPr="00EC0454" w:rsidRDefault="00A61DEA" w:rsidP="00A61DEA">
      <w:pPr>
        <w:spacing w:line="360" w:lineRule="auto"/>
        <w:ind w:left="567"/>
        <w:rPr>
          <w:rFonts w:ascii="Times New Roman" w:hAnsi="Times New Roman" w:cs="Times New Roman"/>
        </w:rPr>
      </w:pPr>
    </w:p>
    <w:p w14:paraId="2C318F0B" w14:textId="77777777" w:rsidR="00A61DEA" w:rsidRPr="00EC0454" w:rsidRDefault="00A61DEA" w:rsidP="00A61DEA">
      <w:pPr>
        <w:jc w:val="both"/>
        <w:rPr>
          <w:rFonts w:ascii="Times New Roman" w:hAnsi="Times New Roman" w:cs="Times New Roman"/>
          <w:i/>
        </w:rPr>
      </w:pPr>
      <w:bookmarkStart w:id="0" w:name="_Hlk234948608"/>
      <w:r w:rsidRPr="00EC0454">
        <w:rPr>
          <w:rFonts w:ascii="Times New Roman" w:hAnsi="Times New Roman" w:cs="Times New Roman"/>
        </w:rPr>
        <w:t xml:space="preserve">dla zamówienia na usługi </w:t>
      </w:r>
      <w:r w:rsidRPr="00EC0454">
        <w:rPr>
          <w:rFonts w:ascii="Times New Roman" w:hAnsi="Times New Roman" w:cs="Times New Roman"/>
          <w:i/>
        </w:rPr>
        <w:t>zarządzania projektem i doradztwa finansowego (eksperckie usługi finansowe)</w:t>
      </w:r>
      <w:r w:rsidRPr="00EC0454">
        <w:rPr>
          <w:rFonts w:ascii="Times New Roman" w:hAnsi="Times New Roman" w:cs="Times New Roman"/>
        </w:rPr>
        <w:t xml:space="preserve"> </w:t>
      </w:r>
      <w:r w:rsidRPr="00EC0454">
        <w:rPr>
          <w:rFonts w:ascii="Times New Roman" w:hAnsi="Times New Roman" w:cs="Times New Roman"/>
          <w:i/>
        </w:rPr>
        <w:t xml:space="preserve">dla projektu </w:t>
      </w:r>
      <w:r w:rsidRPr="00EC0454">
        <w:rPr>
          <w:rFonts w:ascii="Times New Roman" w:hAnsi="Times New Roman" w:cs="Times New Roman"/>
          <w:i/>
          <w:iCs/>
        </w:rPr>
        <w:t>Projekt modernizacji i remontu obiektu Ząbkowickiego Centrum Kultury i Turystyki wraz ze zmianą funkcji obiektu</w:t>
      </w:r>
      <w:r w:rsidRPr="00EC0454">
        <w:rPr>
          <w:rFonts w:ascii="Times New Roman" w:hAnsi="Times New Roman" w:cs="Times New Roman"/>
          <w:i/>
        </w:rPr>
        <w:t xml:space="preserve"> nr FENX.07.01-IP.04-0059/25 w ramach działania FENX.07.01 Infrastruktura kultury i turystyki kulturowej priorytet FENX.07 Kultura Programu Fundusze Europejskie na Infrastrukturę, Klimat, Środowisko 2021-2027</w:t>
      </w:r>
    </w:p>
    <w:p w14:paraId="04497191" w14:textId="77777777" w:rsidR="00A61DEA" w:rsidRPr="00EC0454" w:rsidRDefault="00A61DEA" w:rsidP="00A61DEA">
      <w:pPr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Kody CPV:</w:t>
      </w:r>
    </w:p>
    <w:p w14:paraId="10966F9E" w14:textId="77777777" w:rsidR="00A61DEA" w:rsidRPr="00EC0454" w:rsidRDefault="00A61DEA" w:rsidP="00A61DEA">
      <w:pPr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72224000-1 - Usługi doradcze w zakresie zarządzania projektami</w:t>
      </w:r>
    </w:p>
    <w:p w14:paraId="7644ACC1" w14:textId="77777777" w:rsidR="00A61DEA" w:rsidRPr="00EC0454" w:rsidRDefault="00A61DEA" w:rsidP="00A61DEA">
      <w:pPr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79412000-5 - Usługi doradcze w zakresie zarządzania finansami</w:t>
      </w:r>
    </w:p>
    <w:p w14:paraId="43A45655" w14:textId="77777777" w:rsidR="00A61DEA" w:rsidRPr="00EC0454" w:rsidRDefault="00A61DEA" w:rsidP="00A61DEA">
      <w:pPr>
        <w:jc w:val="both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66171000-9 - Doradztwo finansowe</w:t>
      </w:r>
    </w:p>
    <w:p w14:paraId="1290DC37" w14:textId="77777777" w:rsidR="00A61DEA" w:rsidRPr="00EC0454" w:rsidRDefault="00A61DEA" w:rsidP="00A61DEA">
      <w:pPr>
        <w:spacing w:line="360" w:lineRule="auto"/>
        <w:ind w:left="567"/>
        <w:jc w:val="both"/>
        <w:rPr>
          <w:rFonts w:ascii="Times New Roman" w:hAnsi="Times New Roman" w:cs="Times New Roman"/>
        </w:rPr>
      </w:pPr>
    </w:p>
    <w:p w14:paraId="5A5CDB95" w14:textId="77777777" w:rsidR="00A61DEA" w:rsidRPr="00EC0454" w:rsidRDefault="00A61DEA" w:rsidP="00A61DEA">
      <w:pPr>
        <w:tabs>
          <w:tab w:val="left" w:pos="851"/>
        </w:tabs>
        <w:suppressAutoHyphens/>
        <w:adjustRightInd w:val="0"/>
        <w:spacing w:line="276" w:lineRule="auto"/>
        <w:ind w:left="-142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Do zadań Wykonawcy należeć będzie zarządzanie projektem oraz świadczenie kompleksowych usług doradztwa finansowego w obszarze rozliczania projektu i dofinansowania ze środków Programu Fundusze Europejskie na Infrastrukturę, Klimat, Środowisko na lata 2021-2027, działanie FENX.07.01 Infrastruktura kultury i turystyki kulturowej.</w:t>
      </w:r>
    </w:p>
    <w:p w14:paraId="3760C669" w14:textId="77777777" w:rsidR="00A61DEA" w:rsidRPr="00EC0454" w:rsidRDefault="00A61DEA" w:rsidP="00A61DEA">
      <w:pPr>
        <w:tabs>
          <w:tab w:val="left" w:pos="851"/>
        </w:tabs>
        <w:suppressAutoHyphens/>
        <w:adjustRightInd w:val="0"/>
        <w:spacing w:line="276" w:lineRule="auto"/>
        <w:ind w:left="-142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W ramach świadczenia usług doradztwa finansowego Wykonawca zobowiązany będzie do realizowania kompleksowych czynności związanych z doradztwem finansowym dla projektu w tym rozliczeń oraz sprawozdawczości zgodnie z obowiązującymi przepisami prawa oraz wytycznymi. Powołanie zespołu projektowego po stronie Wykonawcy i zarządzanie projektem w zakresie wynikającym z realizacji zapisów Umowy o Dofinansowanie (</w:t>
      </w:r>
      <w:proofErr w:type="spellStart"/>
      <w:r w:rsidRPr="00EC0454">
        <w:rPr>
          <w:rFonts w:ascii="Times New Roman" w:hAnsi="Times New Roman" w:cs="Times New Roman"/>
          <w:bCs/>
        </w:rPr>
        <w:t>UoD</w:t>
      </w:r>
      <w:proofErr w:type="spellEnd"/>
      <w:r w:rsidRPr="00EC0454">
        <w:rPr>
          <w:rFonts w:ascii="Times New Roman" w:hAnsi="Times New Roman" w:cs="Times New Roman"/>
          <w:bCs/>
        </w:rPr>
        <w:t>).</w:t>
      </w:r>
    </w:p>
    <w:p w14:paraId="16A87779" w14:textId="77777777" w:rsidR="00A61DEA" w:rsidRPr="00EC0454" w:rsidRDefault="00A61DEA" w:rsidP="00A61DEA">
      <w:pPr>
        <w:tabs>
          <w:tab w:val="left" w:pos="851"/>
        </w:tabs>
        <w:suppressAutoHyphens/>
        <w:adjustRightInd w:val="0"/>
        <w:spacing w:line="276" w:lineRule="auto"/>
        <w:ind w:left="-142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 xml:space="preserve">Projekt przewiduje partnerstwo z partnerem z innego państwa, który zgodnie z wytycznymi </w:t>
      </w:r>
      <w:proofErr w:type="spellStart"/>
      <w:r w:rsidRPr="00EC0454">
        <w:rPr>
          <w:rFonts w:ascii="Times New Roman" w:hAnsi="Times New Roman" w:cs="Times New Roman"/>
          <w:bCs/>
        </w:rPr>
        <w:t>MKiDN</w:t>
      </w:r>
      <w:proofErr w:type="spellEnd"/>
      <w:r w:rsidRPr="00EC0454">
        <w:rPr>
          <w:rFonts w:ascii="Times New Roman" w:hAnsi="Times New Roman" w:cs="Times New Roman"/>
          <w:bCs/>
        </w:rPr>
        <w:t xml:space="preserve"> przekazywanymi na etapie oceny formalnej jest realizatorem projektu w zakresie działań miękkich w projekcie. Jest to „partner z innego państwa” w myśl definicji zawartej w Metodyce i horyzontalnych kryteriach wyboru projektów kryteriów oceny.</w:t>
      </w:r>
    </w:p>
    <w:bookmarkEnd w:id="0"/>
    <w:p w14:paraId="57FC21D1" w14:textId="77777777" w:rsidR="00A61DEA" w:rsidRPr="00EC0454" w:rsidRDefault="00A61DEA" w:rsidP="00A61DEA">
      <w:pPr>
        <w:tabs>
          <w:tab w:val="left" w:pos="851"/>
        </w:tabs>
        <w:suppressAutoHyphens/>
        <w:adjustRightInd w:val="0"/>
        <w:spacing w:line="276" w:lineRule="auto"/>
        <w:ind w:left="-142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W szczególności zakres przedmiotu zamówienia obejmuje:</w:t>
      </w:r>
    </w:p>
    <w:p w14:paraId="7EAA25FD" w14:textId="77777777" w:rsidR="00A61DEA" w:rsidRPr="00EC0454" w:rsidRDefault="00A61DEA" w:rsidP="00A61DEA">
      <w:pPr>
        <w:tabs>
          <w:tab w:val="left" w:pos="851"/>
        </w:tabs>
        <w:suppressAutoHyphens/>
        <w:adjustRightInd w:val="0"/>
        <w:spacing w:line="276" w:lineRule="auto"/>
        <w:ind w:left="-142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/>
          <w:bCs/>
        </w:rPr>
        <w:t>1. Zarządzanie i monitoring zakresu i kosztów projektu</w:t>
      </w:r>
    </w:p>
    <w:p w14:paraId="60805DA9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Monitorowanie, czy realizowane prace i działania są zgodne z umową o dofinansowanie i dokumentacją aplikacyjną.</w:t>
      </w:r>
    </w:p>
    <w:p w14:paraId="3795F4E3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Weryfikacja zakresu prac i usług wykonanych przez wykonawców zadań w projekcie z dokumentacją aplikacyjną.</w:t>
      </w:r>
    </w:p>
    <w:p w14:paraId="0EE06FCD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Analiza harmonogramów wszystkich wykonawców zadań w projekcie i konsolidacja ich w jeden harmonogram projektu, służący do zarządzania finansowego.</w:t>
      </w:r>
    </w:p>
    <w:p w14:paraId="532DBBF3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Weryfikacja harmonogramów pod względem formalnym i finansowym, spójności logicznej oraz realności założeń czasowych.</w:t>
      </w:r>
    </w:p>
    <w:p w14:paraId="1C904720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Bieżące monitorowanie harmonogramu rzeczowo-finansowego pod kątem oszczędności i niedoborów budżetowych, w celu zapobiegania powstawaniu kosztów niekwalifikowanych w projekcie.</w:t>
      </w:r>
    </w:p>
    <w:p w14:paraId="6605550A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Monitorowanie i weryfikacja osiągania wskaźników produktu i rezultatu zgodnie z umową o dofinansowanie.</w:t>
      </w:r>
    </w:p>
    <w:p w14:paraId="759C463C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 xml:space="preserve">Sprawdzanie zgodności realizacji projektu z zasadami horyzontalnymi: równość szans, niedyskryminacja, dostępność, zrównoważony rozwój, zasada DNSH. </w:t>
      </w:r>
    </w:p>
    <w:p w14:paraId="073F5154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lastRenderedPageBreak/>
        <w:t>Rozliczanie wykonawców zadań w projekcie ze spełnienia obowiązków sprawozdawczych w zakresie dostępności, DNSH, ochrony środowiska i przyrody w procesie realizacji robót.</w:t>
      </w:r>
    </w:p>
    <w:p w14:paraId="231FBBCA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Zarządzanie realizacją części miękkiej projektu: nadzorowanie i koordynacja działań nieinfrastrukturalnych (szkoleń i promocji).</w:t>
      </w:r>
    </w:p>
    <w:p w14:paraId="1373F7AC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Weryfikacja działań informacyjno-promocyjnych pod kątem zgodności z wytycznymi programowymi, w tym prawidłowości oznakowania projektu.</w:t>
      </w:r>
    </w:p>
    <w:p w14:paraId="62F1394E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Weryfikacja poprawności wykonywania zadania szkoleń w ramach projektu oraz założeń współpracy z partnerem projektu z innego państwa.</w:t>
      </w:r>
    </w:p>
    <w:p w14:paraId="5B304B89" w14:textId="77777777" w:rsidR="00A61DEA" w:rsidRPr="00EC0454" w:rsidRDefault="00A61DEA" w:rsidP="00A61DEA">
      <w:pPr>
        <w:tabs>
          <w:tab w:val="left" w:pos="851"/>
        </w:tabs>
        <w:suppressAutoHyphens/>
        <w:adjustRightInd w:val="0"/>
        <w:spacing w:line="276" w:lineRule="auto"/>
        <w:ind w:left="-142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/>
          <w:bCs/>
        </w:rPr>
        <w:t>2. Bieżąca obsługa spraw projektu, zarządzanie komunikacją, w tym z instytucjami finansującymi</w:t>
      </w:r>
    </w:p>
    <w:p w14:paraId="66CEBDAE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Wspomaganie zespołu projektowego Zamawiającego odpowiedzialnego za realizację i wdrożenie Projektu w aspekcie przestrzegania wytycznych związanych z dofinansowaniem Projektu ze środków Programu Fundusze Europejskie na Infrastrukturę, Klimat, Środowisko na lata 2021-2027, działanie FENX.07.01 Infrastruktura kultury i turystyki kulturowej, pomoc w stosowaniu wytycznych</w:t>
      </w:r>
    </w:p>
    <w:p w14:paraId="244FA02B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Kompleksowa obsługa systemu CST2021 w pełnym zakresie funkcjonalności.</w:t>
      </w:r>
    </w:p>
    <w:p w14:paraId="1DC050F0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Stały kontakt z Zamawiającym: mailowy, telefoniczny i osobisty w siedzibie Zamawiającego lub miejscu realizacji projektu.</w:t>
      </w:r>
    </w:p>
    <w:p w14:paraId="75EDCD51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 xml:space="preserve">Stały kontakt z opiekunami projektu po stronie </w:t>
      </w:r>
      <w:proofErr w:type="spellStart"/>
      <w:r w:rsidRPr="00EC0454">
        <w:rPr>
          <w:rFonts w:ascii="Times New Roman" w:hAnsi="Times New Roman" w:cs="Times New Roman"/>
          <w:bCs/>
        </w:rPr>
        <w:t>MKiDN</w:t>
      </w:r>
      <w:proofErr w:type="spellEnd"/>
      <w:r w:rsidRPr="00EC0454">
        <w:rPr>
          <w:rFonts w:ascii="Times New Roman" w:hAnsi="Times New Roman" w:cs="Times New Roman"/>
          <w:bCs/>
        </w:rPr>
        <w:t xml:space="preserve"> (finansowym, merytorycznym, promocji i ds. kontroli zamówień); przygotowywanie odpowiedzi na pytania.</w:t>
      </w:r>
    </w:p>
    <w:p w14:paraId="3EEA9D3A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Organizacja spotkań roboczych i sporządzanie notatek ze spotkań.</w:t>
      </w:r>
    </w:p>
    <w:p w14:paraId="499E9D33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 xml:space="preserve">Identyfikacja, analiza i monitorowanie </w:t>
      </w:r>
      <w:proofErr w:type="spellStart"/>
      <w:r w:rsidRPr="00EC0454">
        <w:rPr>
          <w:rFonts w:ascii="Times New Roman" w:hAnsi="Times New Roman" w:cs="Times New Roman"/>
          <w:bCs/>
        </w:rPr>
        <w:t>ryzyk</w:t>
      </w:r>
      <w:proofErr w:type="spellEnd"/>
      <w:r w:rsidRPr="00EC0454">
        <w:rPr>
          <w:rFonts w:ascii="Times New Roman" w:hAnsi="Times New Roman" w:cs="Times New Roman"/>
          <w:bCs/>
        </w:rPr>
        <w:t xml:space="preserve"> projektowych; proponowanie działań zaradczych i informowanie Zamawiającego o zagrożeniach.</w:t>
      </w:r>
    </w:p>
    <w:p w14:paraId="65019347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Przygotowywanie pism i wyjaśnień do instytucji pośredniczącej związanych z realizacją projektu.</w:t>
      </w:r>
    </w:p>
    <w:p w14:paraId="087BFE43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Opracowywanie ekspertyz, opinii i analiz niezbędnych do prawidłowego rozliczenia dofinansowania i realizacji projektu.</w:t>
      </w:r>
    </w:p>
    <w:p w14:paraId="17D6004C" w14:textId="77777777" w:rsidR="00A61DEA" w:rsidRPr="00EC0454" w:rsidRDefault="00A61DEA" w:rsidP="00A61DEA">
      <w:pPr>
        <w:tabs>
          <w:tab w:val="left" w:pos="851"/>
        </w:tabs>
        <w:suppressAutoHyphens/>
        <w:adjustRightInd w:val="0"/>
        <w:spacing w:line="276" w:lineRule="auto"/>
        <w:ind w:left="-142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/>
          <w:bCs/>
        </w:rPr>
        <w:t>3. W zakresie monitorowania i zarządzania postępowaniami o zamówienie w projekcie</w:t>
      </w:r>
    </w:p>
    <w:p w14:paraId="07D620AE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Monitorowanie planu i harmonogramu postępowań (kolejności, terminów</w:t>
      </w:r>
      <w:r w:rsidRPr="00EC0454">
        <w:rPr>
          <w:rFonts w:ascii="Times New Roman" w:hAnsi="Times New Roman" w:cs="Times New Roman"/>
          <w:bCs/>
        </w:rPr>
        <w:fldChar w:fldCharType="begin"/>
      </w:r>
      <w:r w:rsidRPr="00EC0454">
        <w:rPr>
          <w:rFonts w:ascii="Times New Roman" w:hAnsi="Times New Roman" w:cs="Times New Roman"/>
          <w:bCs/>
        </w:rPr>
        <w:instrText xml:space="preserve"> LISTNUM </w:instrText>
      </w:r>
      <w:r w:rsidRPr="00EC0454">
        <w:rPr>
          <w:rFonts w:ascii="Times New Roman" w:hAnsi="Times New Roman" w:cs="Times New Roman"/>
          <w:bCs/>
        </w:rPr>
        <w:fldChar w:fldCharType="end"/>
      </w:r>
      <w:r w:rsidRPr="00EC0454">
        <w:rPr>
          <w:rFonts w:ascii="Times New Roman" w:hAnsi="Times New Roman" w:cs="Times New Roman"/>
          <w:bCs/>
        </w:rPr>
        <w:t xml:space="preserve"> planowanego ogłoszenia). Zgłaszanie potrzeb w zakresie zamówień w projekcie.</w:t>
      </w:r>
    </w:p>
    <w:p w14:paraId="3CB0681C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Informowanie Zamawiającego o obowiązkach związanych z przygotowaniem Specyfikacji Warunków Zamówienia (SWZ), Opisu Przedmiotu Zamówienia (OPZ) zgodnie z wymogami programowymi i wytycznymi kwalifikowalności.</w:t>
      </w:r>
    </w:p>
    <w:p w14:paraId="5696DD27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Przed wszczęciem postępowania weryfikacja Opisów Przedmiotu Zamówienia pod kątem zgodności z dokumentacją aplikacyjną projektu (zgodność zakresu, czasowa i finansowa).</w:t>
      </w:r>
    </w:p>
    <w:p w14:paraId="74AEF8FB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Weryfikacja planowanych środków finansowych (kwota jaką Zamawiający zamierza przeznaczyć na sfinansowanie zamówienia z budżetem projektu), terminów i wymaganych decyzji administracyjnych w planowanych postępowaniach.</w:t>
      </w:r>
    </w:p>
    <w:p w14:paraId="7792B0E3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Po zakończeniu postępowania zamieszczanie dokumentacji postępowań o zamówienie publiczne w systemie CST2021.</w:t>
      </w:r>
    </w:p>
    <w:p w14:paraId="5198F078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Zamieszczanie Harmonogramów Płatności w systemie CST2021.</w:t>
      </w:r>
    </w:p>
    <w:p w14:paraId="734E1D1B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Prowadzenie i bieżąca aktualizacja wykazu postępowań.</w:t>
      </w:r>
    </w:p>
    <w:p w14:paraId="16BF9C22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Bieżące przekazywanie aneksów zawieranych z wykonawcami do kontroli instytucji finansującej.</w:t>
      </w:r>
    </w:p>
    <w:p w14:paraId="4FD579A0" w14:textId="77777777" w:rsidR="00A61DEA" w:rsidRPr="00EC0454" w:rsidRDefault="00A61DEA" w:rsidP="00A61DEA">
      <w:pPr>
        <w:tabs>
          <w:tab w:val="left" w:pos="851"/>
        </w:tabs>
        <w:suppressAutoHyphens/>
        <w:adjustRightInd w:val="0"/>
        <w:spacing w:line="276" w:lineRule="auto"/>
        <w:ind w:left="-142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/>
          <w:bCs/>
        </w:rPr>
        <w:t>4. Zarządzanie płatnościami i rozliczaniem</w:t>
      </w:r>
    </w:p>
    <w:p w14:paraId="4BA7CE95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Konsultowanie i weryfikacja kwalifikowalności wydatków w projekcie.</w:t>
      </w:r>
    </w:p>
    <w:p w14:paraId="7FAD13B3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Kompletowanie dokumentów do przygotowania Wniosków o Płatność (</w:t>
      </w:r>
      <w:proofErr w:type="spellStart"/>
      <w:r w:rsidRPr="00EC0454">
        <w:rPr>
          <w:rFonts w:ascii="Times New Roman" w:hAnsi="Times New Roman" w:cs="Times New Roman"/>
          <w:bCs/>
        </w:rPr>
        <w:t>WoP</w:t>
      </w:r>
      <w:proofErr w:type="spellEnd"/>
      <w:r w:rsidRPr="00EC0454">
        <w:rPr>
          <w:rFonts w:ascii="Times New Roman" w:hAnsi="Times New Roman" w:cs="Times New Roman"/>
          <w:bCs/>
        </w:rPr>
        <w:t xml:space="preserve">) (kontrakt, protokoły odbioru, faktury, potwierdzenia płatności, </w:t>
      </w:r>
      <w:proofErr w:type="spellStart"/>
      <w:r w:rsidRPr="00EC0454">
        <w:rPr>
          <w:rFonts w:ascii="Times New Roman" w:hAnsi="Times New Roman" w:cs="Times New Roman"/>
          <w:bCs/>
        </w:rPr>
        <w:t>etc</w:t>
      </w:r>
      <w:proofErr w:type="spellEnd"/>
      <w:r w:rsidRPr="00EC0454">
        <w:rPr>
          <w:rFonts w:ascii="Times New Roman" w:hAnsi="Times New Roman" w:cs="Times New Roman"/>
          <w:bCs/>
        </w:rPr>
        <w:t>).</w:t>
      </w:r>
    </w:p>
    <w:p w14:paraId="2DD9B79C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Weryfikacja dokumentacji rozliczeniowej: faktur, protokołów odbioru i potwierdzeń przelewów pod kątem zgodności z umowami z wykonawcami i wymogami programu.</w:t>
      </w:r>
    </w:p>
    <w:p w14:paraId="14659FA3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 xml:space="preserve">Przygotowanie opisów dokumentów finansowych na potrzeby rozliczania płatności z </w:t>
      </w:r>
      <w:proofErr w:type="spellStart"/>
      <w:r w:rsidRPr="00EC0454">
        <w:rPr>
          <w:rFonts w:ascii="Times New Roman" w:hAnsi="Times New Roman" w:cs="Times New Roman"/>
          <w:bCs/>
        </w:rPr>
        <w:t>FEnIKS</w:t>
      </w:r>
      <w:proofErr w:type="spellEnd"/>
      <w:r w:rsidRPr="00EC0454">
        <w:rPr>
          <w:rFonts w:ascii="Times New Roman" w:hAnsi="Times New Roman" w:cs="Times New Roman"/>
          <w:bCs/>
        </w:rPr>
        <w:t>.</w:t>
      </w:r>
    </w:p>
    <w:p w14:paraId="19A9DA07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Rozliczanie kosztów pośrednich metodą uproszczoną oraz konsultowanie zakresu wydatków kwalifikujących się do tego rozliczenia.</w:t>
      </w:r>
    </w:p>
    <w:p w14:paraId="241DFFA8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 xml:space="preserve">Planowanie płatności zaliczkowych; </w:t>
      </w:r>
    </w:p>
    <w:p w14:paraId="2DE5A3F4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 xml:space="preserve">Obsługa procedury zwrotu niewykorzystanych zaliczek do BGK i </w:t>
      </w:r>
      <w:proofErr w:type="spellStart"/>
      <w:r w:rsidRPr="00EC0454">
        <w:rPr>
          <w:rFonts w:ascii="Times New Roman" w:hAnsi="Times New Roman" w:cs="Times New Roman"/>
          <w:bCs/>
        </w:rPr>
        <w:t>MKiDN</w:t>
      </w:r>
      <w:proofErr w:type="spellEnd"/>
      <w:r w:rsidRPr="00EC0454">
        <w:rPr>
          <w:rFonts w:ascii="Times New Roman" w:hAnsi="Times New Roman" w:cs="Times New Roman"/>
          <w:bCs/>
        </w:rPr>
        <w:t>.</w:t>
      </w:r>
    </w:p>
    <w:p w14:paraId="5DCF8BE6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Przygotowanie i składanie wniosków o płatność w systemie CST2021.</w:t>
      </w:r>
    </w:p>
    <w:p w14:paraId="7E36E299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lastRenderedPageBreak/>
        <w:t>Monitorowanie płynności finansowej projektu i przepływów na projektowym rachunku bankowym/rachunkach bankowych.</w:t>
      </w:r>
    </w:p>
    <w:p w14:paraId="1AA004F1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Przygotowywanie zestawień finansowych i informacji o planowanych płatnościach (z podziałem na źródła finansowania) dla komórki finansowej Zamawiającego.</w:t>
      </w:r>
    </w:p>
    <w:p w14:paraId="07EA40AF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Pozyskiwanie danych i dokumentów oraz odpowiadanie na uwagi instytucji pośredniczącej do złożonych Wniosków o Płatność.</w:t>
      </w:r>
    </w:p>
    <w:p w14:paraId="40C036B7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Obsługa rozliczeń z instytucją zapewniającą wkład własny: przygotowywanie sprawozdań, uwzględnianie zaleceń na opisach faktur, opracowanie planów płatności, raporty miesięczne, pisma, wnioski o zwiększenie środków oraz wnioski o wypłatę środków.</w:t>
      </w:r>
    </w:p>
    <w:p w14:paraId="28FFECB7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Współpraca z instytucjami finansującymi w zakresie harmonogramów płatności oraz zapotrzebowania na środki.</w:t>
      </w:r>
    </w:p>
    <w:p w14:paraId="7D28E0F9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 xml:space="preserve">Przygotowywanie zestawień do rezerwy celowej dla </w:t>
      </w:r>
      <w:proofErr w:type="spellStart"/>
      <w:r w:rsidRPr="00EC0454">
        <w:rPr>
          <w:rFonts w:ascii="Times New Roman" w:hAnsi="Times New Roman" w:cs="Times New Roman"/>
          <w:bCs/>
        </w:rPr>
        <w:t>MKiDN</w:t>
      </w:r>
      <w:proofErr w:type="spellEnd"/>
      <w:r w:rsidRPr="00EC0454">
        <w:rPr>
          <w:rFonts w:ascii="Times New Roman" w:hAnsi="Times New Roman" w:cs="Times New Roman"/>
          <w:bCs/>
        </w:rPr>
        <w:t xml:space="preserve"> (jeśli dotyczy).</w:t>
      </w:r>
    </w:p>
    <w:p w14:paraId="244BAF03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Przygotowywanie dokumentów i formularzy wynikających z przepisów dotyczących noty budżetowej (rozporządzenie Ministra Finansów w sprawie materiałów do projektu ustawy budżetowej) (jeśli dotyczy).</w:t>
      </w:r>
    </w:p>
    <w:p w14:paraId="0685D7FE" w14:textId="77777777" w:rsidR="00A61DEA" w:rsidRPr="00EC0454" w:rsidRDefault="00A61DEA" w:rsidP="00A61DEA">
      <w:pPr>
        <w:tabs>
          <w:tab w:val="left" w:pos="851"/>
        </w:tabs>
        <w:suppressAutoHyphens/>
        <w:adjustRightInd w:val="0"/>
        <w:spacing w:line="276" w:lineRule="auto"/>
        <w:ind w:left="-142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/>
          <w:bCs/>
        </w:rPr>
        <w:t>5. Zarządzanie zmianami w projekcie</w:t>
      </w:r>
    </w:p>
    <w:p w14:paraId="57BBCCD7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Przygotowanie pism informujących instytucję pośredniczącą o zmianach w projekcie.</w:t>
      </w:r>
    </w:p>
    <w:p w14:paraId="5AAE3C54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Składanie wniosków o zmiany w systemie CST2021 wraz z wymaganymi załącznikami.</w:t>
      </w:r>
    </w:p>
    <w:p w14:paraId="694D55C1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Aktualizacja załączników do umowy o dofinansowanie (harmonogramów, studium wykonalności) wynikająca ze zmieniających się warunków realizacji projektu.</w:t>
      </w:r>
    </w:p>
    <w:p w14:paraId="56DFB4E3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Analiza odchyleń od harmonogramu i budżetu; rekomendowanie działań naprawczych i korygujących.</w:t>
      </w:r>
    </w:p>
    <w:p w14:paraId="5F2B5842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Bieżące śledzenie zmian w wytycznych i przepisach; informowanie Zamawiającego o konsekwencjach dla projektu i wdrażanie zmian.</w:t>
      </w:r>
    </w:p>
    <w:p w14:paraId="1CE5B61E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Bieżące konsultowanie wszelkich zagadnień dotyczących projektu: zmian zakresu, prac dodatkowych, zamówień, wskaźników itp.</w:t>
      </w:r>
    </w:p>
    <w:p w14:paraId="33886415" w14:textId="77777777" w:rsidR="00A61DEA" w:rsidRPr="00EC0454" w:rsidRDefault="00A61DEA" w:rsidP="00A61DEA">
      <w:pPr>
        <w:tabs>
          <w:tab w:val="left" w:pos="851"/>
        </w:tabs>
        <w:suppressAutoHyphens/>
        <w:adjustRightInd w:val="0"/>
        <w:spacing w:line="276" w:lineRule="auto"/>
        <w:ind w:left="-142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/>
          <w:bCs/>
        </w:rPr>
        <w:t>6. Doradztwo przy kontrolach i audytach projektu</w:t>
      </w:r>
    </w:p>
    <w:p w14:paraId="1274428A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Uczestnictwo w kontrolach i audytach prowadzonych przez uprawnione instytucje w trakcie realizacji projektu.</w:t>
      </w:r>
    </w:p>
    <w:p w14:paraId="1129517F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Analiza informacji pokontrolnych, zaleceń i zarzutów stawianych Zamawiającemu przez organy kontroli.</w:t>
      </w:r>
    </w:p>
    <w:p w14:paraId="792832CD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Przygotowywanie odpowiedzi na pytania, wnioski i zarzuty organów kontroli w zakresie w jakim wynikają z innych usług doradczych.</w:t>
      </w:r>
    </w:p>
    <w:p w14:paraId="1631CF1F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Informowanie Zamawiającego o ryzyku nałożenia korekty finansowej lub stwierdzenia nieprawidłowości oraz o obowiązkach i trybie postępowania wynikających z procedury odwoławczej wobec instytucji finansującej.</w:t>
      </w:r>
    </w:p>
    <w:p w14:paraId="0FE39A6D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Pomoc w przygotowaniu oszacowania ryzyka wystąpienia nadużyć finansowych oraz opracowaniu skutecznych środków zapobiegawczych.</w:t>
      </w:r>
    </w:p>
    <w:p w14:paraId="29A809FC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Pomoc w przygotowaniu informacji na stronę internetową Zamawiającego dotyczącej mechanizmu sygnalizowania nieprawidłowości lub nadużyć finansowych.</w:t>
      </w:r>
    </w:p>
    <w:p w14:paraId="2E93DFD7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Pomoc w przygotowaniu informacji na stronę internetową Zamawiającego dotyczącej możliwości zgłoszenia niezgodności projektu z KPON lub KPP.</w:t>
      </w:r>
    </w:p>
    <w:p w14:paraId="79FF0608" w14:textId="77777777" w:rsidR="00A61DEA" w:rsidRPr="00EC0454" w:rsidRDefault="00A61DEA" w:rsidP="00A61DEA">
      <w:pPr>
        <w:tabs>
          <w:tab w:val="left" w:pos="851"/>
        </w:tabs>
        <w:suppressAutoHyphens/>
        <w:adjustRightInd w:val="0"/>
        <w:spacing w:line="276" w:lineRule="auto"/>
        <w:ind w:left="-142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/>
          <w:bCs/>
        </w:rPr>
        <w:t>7. Doradztwo w zamknięciu projektu</w:t>
      </w:r>
    </w:p>
    <w:p w14:paraId="47975352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Przygotowanie końcowego wniosku o płatność.</w:t>
      </w:r>
    </w:p>
    <w:p w14:paraId="136458B8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Kompletowanie dokumentacji końcowej projektu.</w:t>
      </w:r>
    </w:p>
    <w:p w14:paraId="0BAC3BDA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Przygotowanie wymaganych sprawozdań potwierdzających realizację projektu, w tym sprawozdania z zasady DNSH.</w:t>
      </w:r>
    </w:p>
    <w:p w14:paraId="6980C5BA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Wsparcie w formalnym zamknięciu projektu wobec instytucji finansujących.</w:t>
      </w:r>
    </w:p>
    <w:p w14:paraId="0C2E5EDE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Informowanie Zamawiającego o obowiązkach związanych z zachowaniem trwałości oraz wymaganiach archiwizacyjnych wynikających z umowy o dofinansowanie, w tym o zakresie, formie i minimalnym okresie przechowywania dokumentacji projektowej.</w:t>
      </w:r>
    </w:p>
    <w:p w14:paraId="69FA2C82" w14:textId="77777777" w:rsidR="00A61DEA" w:rsidRPr="00EC0454" w:rsidRDefault="00A61DEA" w:rsidP="00A61DEA">
      <w:pPr>
        <w:tabs>
          <w:tab w:val="left" w:pos="851"/>
        </w:tabs>
        <w:suppressAutoHyphens/>
        <w:adjustRightInd w:val="0"/>
        <w:spacing w:line="276" w:lineRule="auto"/>
        <w:ind w:left="-142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/>
          <w:bCs/>
        </w:rPr>
        <w:t>8. Zarządzanie partnerstwem zagranicznym</w:t>
      </w:r>
    </w:p>
    <w:p w14:paraId="3D8A6A77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lastRenderedPageBreak/>
        <w:t>Koordynacja udziału partnera zagranicznego w projekcie, w tym organizacja konsultacji i spotkań z jego udziałem.</w:t>
      </w:r>
    </w:p>
    <w:p w14:paraId="02233F03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Nadzór nad prawidłową realizacją Umowy Partnerskiej, w tym kontrola wywiązywania się partnera z przyjętych zobowiązań.</w:t>
      </w:r>
    </w:p>
    <w:p w14:paraId="1D34F929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Pomoc Zamawiającemu w organizacji wspólnych działań z partnerem: warsztatów, konferencji i spotkań projektowych.</w:t>
      </w:r>
    </w:p>
    <w:p w14:paraId="14474DAD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Organizacja transferu wiedzy oraz budowanie relacji i wymiany doświadczeń pomiędzy Zamawiającym a partnerem zagranicznym.</w:t>
      </w:r>
    </w:p>
    <w:p w14:paraId="0E7B9DAC" w14:textId="77777777" w:rsidR="00A61DEA" w:rsidRPr="00EC0454" w:rsidRDefault="00A61DEA" w:rsidP="00A61DEA">
      <w:pPr>
        <w:widowControl/>
        <w:numPr>
          <w:ilvl w:val="0"/>
          <w:numId w:val="15"/>
        </w:numPr>
        <w:tabs>
          <w:tab w:val="left" w:pos="851"/>
        </w:tabs>
        <w:suppressAutoHyphens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Weryfikacja dokumentacji partnera zagranicznego pod kątem zgodności z wymogami programowymi i postanowieniami Umowy Partnerskiej.</w:t>
      </w:r>
    </w:p>
    <w:p w14:paraId="375C8F53" w14:textId="77777777" w:rsidR="00A61DEA" w:rsidRPr="00EC0454" w:rsidRDefault="00A61DEA" w:rsidP="00A61DEA">
      <w:pPr>
        <w:tabs>
          <w:tab w:val="left" w:pos="851"/>
        </w:tabs>
        <w:suppressAutoHyphens/>
        <w:adjustRightInd w:val="0"/>
        <w:spacing w:before="120" w:line="276" w:lineRule="auto"/>
        <w:ind w:left="-142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 xml:space="preserve">Przez „instytucje finansujące” rozumie się: Instytucję Pośredniczącą - Ministerstwo Kultury i Dziedzictwa Narodowego (w zakresie dotacji </w:t>
      </w:r>
      <w:proofErr w:type="spellStart"/>
      <w:r w:rsidRPr="00EC0454">
        <w:rPr>
          <w:rFonts w:ascii="Times New Roman" w:hAnsi="Times New Roman" w:cs="Times New Roman"/>
          <w:bCs/>
        </w:rPr>
        <w:t>FEnIKS</w:t>
      </w:r>
      <w:proofErr w:type="spellEnd"/>
      <w:r w:rsidRPr="00EC0454">
        <w:rPr>
          <w:rFonts w:ascii="Times New Roman" w:hAnsi="Times New Roman" w:cs="Times New Roman"/>
          <w:bCs/>
        </w:rPr>
        <w:t>) oraz instytucje zapewniające finansowanie wkładu własnego w częściach kwalifikowanej i niekwalifikowanej.</w:t>
      </w:r>
    </w:p>
    <w:p w14:paraId="74F333B3" w14:textId="77777777" w:rsidR="00A61DEA" w:rsidRPr="00EC0454" w:rsidRDefault="00A61DEA" w:rsidP="00A61DEA">
      <w:pPr>
        <w:tabs>
          <w:tab w:val="left" w:pos="851"/>
        </w:tabs>
        <w:suppressAutoHyphens/>
        <w:adjustRightInd w:val="0"/>
        <w:spacing w:before="120" w:line="276" w:lineRule="auto"/>
        <w:ind w:left="-142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W ramach realizacji przedmiotowego zamówienia, co najmniej jedna z osób wyznaczonych przez Wykonawcę do realizacji czynności w ramach zamówienia będzie dostępna i wykonywała czynności na miejscu w siedzibie Zamawiającego nie mniej niż 32 godzin miesięcznie, w czasie ustalonym z Zamawiającym.</w:t>
      </w:r>
    </w:p>
    <w:p w14:paraId="31133DFC" w14:textId="77777777" w:rsidR="00A61DEA" w:rsidRPr="00EC0454" w:rsidRDefault="00A61DEA" w:rsidP="00A61DEA">
      <w:pPr>
        <w:tabs>
          <w:tab w:val="left" w:pos="851"/>
        </w:tabs>
        <w:suppressAutoHyphens/>
        <w:adjustRightInd w:val="0"/>
        <w:spacing w:before="120" w:line="276" w:lineRule="auto"/>
        <w:ind w:left="-142"/>
        <w:jc w:val="both"/>
        <w:rPr>
          <w:rFonts w:ascii="Times New Roman" w:hAnsi="Times New Roman" w:cs="Times New Roman"/>
          <w:bCs/>
        </w:rPr>
      </w:pPr>
      <w:r w:rsidRPr="00EC0454">
        <w:rPr>
          <w:rFonts w:ascii="Times New Roman" w:hAnsi="Times New Roman" w:cs="Times New Roman"/>
          <w:bCs/>
        </w:rPr>
        <w:t>Ponadto Wykonawca jest zobowiązany do bieżącej współpracy z Zamawiającym, polegającej m.in. na kontaktach bezpośrednich (pisemnie, telefonicznie, mailowo, osobiście w siedzibie Zamawiającego lub miejscu realizacji projektu). Przedstawiciel Wykonawcy powinien być dyspozycyjny na każde wezwanie Zamawiającego. Wszelkie czynności podjęte przez Wykonawcę w ramach realizacji przedmiotu umowy będą wykonywane w sposób zapewniający zachowanie żądanego odnośnie rozliczeń dofinansowania zgodnie z postanowieniami Umowy o Dofinansowanie oraz mającymi zastosowanie w tym zakresie aktualnymi na dzień podejmowania przez Wykonawcę czynności wytycznymi.</w:t>
      </w:r>
    </w:p>
    <w:p w14:paraId="4A3DAC03" w14:textId="77777777" w:rsidR="00A61DEA" w:rsidRPr="00EC0454" w:rsidRDefault="00A61DEA" w:rsidP="00A61DEA">
      <w:pPr>
        <w:spacing w:line="360" w:lineRule="auto"/>
        <w:ind w:left="720"/>
        <w:jc w:val="both"/>
        <w:rPr>
          <w:rFonts w:ascii="Times New Roman" w:hAnsi="Times New Roman" w:cs="Times New Roman"/>
        </w:rPr>
      </w:pPr>
    </w:p>
    <w:p w14:paraId="5AE9E930" w14:textId="77777777" w:rsidR="00697E3C" w:rsidRPr="00EC0454" w:rsidRDefault="00697E3C" w:rsidP="00697E3C">
      <w:pPr>
        <w:spacing w:line="288" w:lineRule="auto"/>
        <w:rPr>
          <w:rFonts w:ascii="Times New Roman" w:hAnsi="Times New Roman" w:cs="Times New Roman"/>
          <w:b/>
          <w:bCs/>
          <w:i/>
          <w:iCs/>
        </w:rPr>
      </w:pPr>
    </w:p>
    <w:sectPr w:rsidR="00697E3C" w:rsidRPr="00EC0454" w:rsidSect="0010064C">
      <w:pgSz w:w="11906" w:h="16838"/>
      <w:pgMar w:top="851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82095" w14:textId="77777777" w:rsidR="00DB4BC7" w:rsidRDefault="00DB4BC7" w:rsidP="00AA07C0">
      <w:r>
        <w:separator/>
      </w:r>
    </w:p>
  </w:endnote>
  <w:endnote w:type="continuationSeparator" w:id="0">
    <w:p w14:paraId="31DFB5F3" w14:textId="77777777" w:rsidR="00DB4BC7" w:rsidRDefault="00DB4BC7" w:rsidP="00AA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81D2C" w14:textId="77777777" w:rsidR="00DB4BC7" w:rsidRDefault="00DB4BC7" w:rsidP="00AA07C0">
      <w:r>
        <w:separator/>
      </w:r>
    </w:p>
  </w:footnote>
  <w:footnote w:type="continuationSeparator" w:id="0">
    <w:p w14:paraId="4E15D25C" w14:textId="77777777" w:rsidR="00DB4BC7" w:rsidRDefault="00DB4BC7" w:rsidP="00AA0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B8F"/>
    <w:multiLevelType w:val="multilevel"/>
    <w:tmpl w:val="F83EF7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23E06"/>
    <w:multiLevelType w:val="hybridMultilevel"/>
    <w:tmpl w:val="35CC3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53B6A"/>
    <w:multiLevelType w:val="hybridMultilevel"/>
    <w:tmpl w:val="85FA51BC"/>
    <w:lvl w:ilvl="0" w:tplc="2B629CEE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32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CAE1E05"/>
    <w:multiLevelType w:val="hybridMultilevel"/>
    <w:tmpl w:val="B3CC4B8C"/>
    <w:lvl w:ilvl="0" w:tplc="382407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ED401D7"/>
    <w:multiLevelType w:val="multilevel"/>
    <w:tmpl w:val="69624E82"/>
    <w:lvl w:ilvl="0">
      <w:start w:val="1"/>
      <w:numFmt w:val="decimal"/>
      <w:lvlText w:val="%1)"/>
      <w:lvlJc w:val="left"/>
      <w:pPr>
        <w:ind w:left="1462" w:hanging="360"/>
      </w:pPr>
    </w:lvl>
    <w:lvl w:ilvl="1">
      <w:start w:val="1"/>
      <w:numFmt w:val="lowerLetter"/>
      <w:lvlText w:val="%2."/>
      <w:lvlJc w:val="left"/>
      <w:pPr>
        <w:ind w:left="2182" w:hanging="360"/>
      </w:pPr>
    </w:lvl>
    <w:lvl w:ilvl="2">
      <w:start w:val="1"/>
      <w:numFmt w:val="lowerRoman"/>
      <w:lvlText w:val="%3."/>
      <w:lvlJc w:val="right"/>
      <w:pPr>
        <w:ind w:left="2902" w:hanging="180"/>
      </w:pPr>
    </w:lvl>
    <w:lvl w:ilvl="3">
      <w:start w:val="1"/>
      <w:numFmt w:val="decimal"/>
      <w:lvlText w:val="%4."/>
      <w:lvlJc w:val="left"/>
      <w:pPr>
        <w:ind w:left="3622" w:hanging="360"/>
      </w:pPr>
    </w:lvl>
    <w:lvl w:ilvl="4">
      <w:start w:val="1"/>
      <w:numFmt w:val="lowerLetter"/>
      <w:lvlText w:val="%5."/>
      <w:lvlJc w:val="left"/>
      <w:pPr>
        <w:ind w:left="4342" w:hanging="360"/>
      </w:pPr>
    </w:lvl>
    <w:lvl w:ilvl="5">
      <w:start w:val="1"/>
      <w:numFmt w:val="lowerRoman"/>
      <w:lvlText w:val="%6."/>
      <w:lvlJc w:val="right"/>
      <w:pPr>
        <w:ind w:left="5062" w:hanging="180"/>
      </w:pPr>
    </w:lvl>
    <w:lvl w:ilvl="6">
      <w:start w:val="1"/>
      <w:numFmt w:val="decimal"/>
      <w:lvlText w:val="%7."/>
      <w:lvlJc w:val="left"/>
      <w:pPr>
        <w:ind w:left="5782" w:hanging="360"/>
      </w:pPr>
    </w:lvl>
    <w:lvl w:ilvl="7">
      <w:start w:val="1"/>
      <w:numFmt w:val="lowerLetter"/>
      <w:lvlText w:val="%8."/>
      <w:lvlJc w:val="left"/>
      <w:pPr>
        <w:ind w:left="6502" w:hanging="360"/>
      </w:pPr>
    </w:lvl>
    <w:lvl w:ilvl="8">
      <w:start w:val="1"/>
      <w:numFmt w:val="lowerRoman"/>
      <w:lvlText w:val="%9."/>
      <w:lvlJc w:val="right"/>
      <w:pPr>
        <w:ind w:left="7222" w:hanging="180"/>
      </w:pPr>
    </w:lvl>
  </w:abstractNum>
  <w:abstractNum w:abstractNumId="5" w15:restartNumberingAfterBreak="0">
    <w:nsid w:val="2356657F"/>
    <w:multiLevelType w:val="hybridMultilevel"/>
    <w:tmpl w:val="49C0DEB4"/>
    <w:lvl w:ilvl="0" w:tplc="8F44BB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  <w:color w:val="auto"/>
      </w:rPr>
    </w:lvl>
    <w:lvl w:ilvl="1" w:tplc="3B545218">
      <w:start w:val="1"/>
      <w:numFmt w:val="lowerLetter"/>
      <w:lvlText w:val="%2)"/>
      <w:lvlJc w:val="left"/>
      <w:pPr>
        <w:tabs>
          <w:tab w:val="num" w:pos="1533"/>
        </w:tabs>
        <w:ind w:left="1533" w:hanging="453"/>
      </w:pPr>
      <w:rPr>
        <w:rFonts w:cs="Times New Roman" w:hint="default"/>
        <w:color w:val="auto"/>
      </w:rPr>
    </w:lvl>
    <w:lvl w:ilvl="2" w:tplc="0415001B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D3483A"/>
    <w:multiLevelType w:val="hybridMultilevel"/>
    <w:tmpl w:val="35124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C7412"/>
    <w:multiLevelType w:val="hybridMultilevel"/>
    <w:tmpl w:val="CBF85E70"/>
    <w:lvl w:ilvl="0" w:tplc="A0543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472FE"/>
    <w:multiLevelType w:val="hybridMultilevel"/>
    <w:tmpl w:val="9D3466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564F6"/>
    <w:multiLevelType w:val="multilevel"/>
    <w:tmpl w:val="3634C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108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l-PL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l-PL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l-PL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l-PL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l-PL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l-PL" w:eastAsia="en-US" w:bidi="ar-SA"/>
      </w:rPr>
    </w:lvl>
  </w:abstractNum>
  <w:abstractNum w:abstractNumId="10" w15:restartNumberingAfterBreak="0">
    <w:nsid w:val="3C2C2ACF"/>
    <w:multiLevelType w:val="hybridMultilevel"/>
    <w:tmpl w:val="237EFCB2"/>
    <w:lvl w:ilvl="0" w:tplc="A6E05FC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C6F85"/>
    <w:multiLevelType w:val="hybridMultilevel"/>
    <w:tmpl w:val="3B36057C"/>
    <w:lvl w:ilvl="0" w:tplc="382407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6BE16C6B"/>
    <w:multiLevelType w:val="hybridMultilevel"/>
    <w:tmpl w:val="44B8A5FC"/>
    <w:lvl w:ilvl="0" w:tplc="5AC6B590">
      <w:start w:val="1"/>
      <w:numFmt w:val="bullet"/>
      <w:lvlText w:val="–"/>
      <w:lvlJc w:val="left"/>
      <w:pPr>
        <w:ind w:left="560" w:hanging="280"/>
      </w:pPr>
    </w:lvl>
    <w:lvl w:ilvl="1" w:tplc="D8061434">
      <w:numFmt w:val="decimal"/>
      <w:lvlText w:val=""/>
      <w:lvlJc w:val="left"/>
    </w:lvl>
    <w:lvl w:ilvl="2" w:tplc="91B67154">
      <w:numFmt w:val="decimal"/>
      <w:lvlText w:val=""/>
      <w:lvlJc w:val="left"/>
    </w:lvl>
    <w:lvl w:ilvl="3" w:tplc="10981EF8">
      <w:numFmt w:val="decimal"/>
      <w:lvlText w:val=""/>
      <w:lvlJc w:val="left"/>
    </w:lvl>
    <w:lvl w:ilvl="4" w:tplc="7BAACADE">
      <w:numFmt w:val="decimal"/>
      <w:lvlText w:val=""/>
      <w:lvlJc w:val="left"/>
    </w:lvl>
    <w:lvl w:ilvl="5" w:tplc="2742529E">
      <w:numFmt w:val="decimal"/>
      <w:lvlText w:val=""/>
      <w:lvlJc w:val="left"/>
    </w:lvl>
    <w:lvl w:ilvl="6" w:tplc="E656F89C">
      <w:numFmt w:val="decimal"/>
      <w:lvlText w:val=""/>
      <w:lvlJc w:val="left"/>
    </w:lvl>
    <w:lvl w:ilvl="7" w:tplc="087006DE">
      <w:numFmt w:val="decimal"/>
      <w:lvlText w:val=""/>
      <w:lvlJc w:val="left"/>
    </w:lvl>
    <w:lvl w:ilvl="8" w:tplc="B3BCD704">
      <w:numFmt w:val="decimal"/>
      <w:lvlText w:val=""/>
      <w:lvlJc w:val="left"/>
    </w:lvl>
  </w:abstractNum>
  <w:abstractNum w:abstractNumId="13" w15:restartNumberingAfterBreak="0">
    <w:nsid w:val="719E1384"/>
    <w:multiLevelType w:val="multilevel"/>
    <w:tmpl w:val="9260FAE0"/>
    <w:lvl w:ilvl="0">
      <w:start w:val="1"/>
      <w:numFmt w:val="bullet"/>
      <w:lvlText w:val=""/>
      <w:lvlJc w:val="left"/>
      <w:pPr>
        <w:tabs>
          <w:tab w:val="num" w:pos="0"/>
        </w:tabs>
        <w:ind w:left="704" w:hanging="360"/>
      </w:pPr>
      <w:rPr>
        <w:rFonts w:ascii="Symbol" w:hAnsi="Symbol" w:hint="default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4" w:hanging="360"/>
      </w:pPr>
      <w:rPr>
        <w:rFonts w:ascii="Wingdings" w:hAnsi="Wingdings" w:hint="default"/>
      </w:rPr>
    </w:lvl>
  </w:abstractNum>
  <w:abstractNum w:abstractNumId="14" w15:restartNumberingAfterBreak="0">
    <w:nsid w:val="7BC74DB6"/>
    <w:multiLevelType w:val="hybridMultilevel"/>
    <w:tmpl w:val="247E5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77286">
    <w:abstractNumId w:val="5"/>
  </w:num>
  <w:num w:numId="2" w16cid:durableId="1263031856">
    <w:abstractNumId w:val="10"/>
  </w:num>
  <w:num w:numId="3" w16cid:durableId="1460296396">
    <w:abstractNumId w:val="13"/>
  </w:num>
  <w:num w:numId="4" w16cid:durableId="1125079363">
    <w:abstractNumId w:val="3"/>
  </w:num>
  <w:num w:numId="5" w16cid:durableId="1068651326">
    <w:abstractNumId w:val="7"/>
  </w:num>
  <w:num w:numId="6" w16cid:durableId="1928072207">
    <w:abstractNumId w:val="4"/>
  </w:num>
  <w:num w:numId="7" w16cid:durableId="1568497086">
    <w:abstractNumId w:val="8"/>
  </w:num>
  <w:num w:numId="8" w16cid:durableId="972446302">
    <w:abstractNumId w:val="9"/>
  </w:num>
  <w:num w:numId="9" w16cid:durableId="724185059">
    <w:abstractNumId w:val="1"/>
  </w:num>
  <w:num w:numId="10" w16cid:durableId="1635678443">
    <w:abstractNumId w:val="2"/>
  </w:num>
  <w:num w:numId="11" w16cid:durableId="1414161339">
    <w:abstractNumId w:val="6"/>
  </w:num>
  <w:num w:numId="12" w16cid:durableId="1149900309">
    <w:abstractNumId w:val="0"/>
  </w:num>
  <w:num w:numId="13" w16cid:durableId="1757051428">
    <w:abstractNumId w:val="14"/>
  </w:num>
  <w:num w:numId="14" w16cid:durableId="1343161873">
    <w:abstractNumId w:val="11"/>
  </w:num>
  <w:num w:numId="15" w16cid:durableId="1792288584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C0"/>
    <w:rsid w:val="00012BA8"/>
    <w:rsid w:val="00074CD3"/>
    <w:rsid w:val="000F1DF1"/>
    <w:rsid w:val="0010064C"/>
    <w:rsid w:val="00127D79"/>
    <w:rsid w:val="002155B7"/>
    <w:rsid w:val="00282818"/>
    <w:rsid w:val="002D3DCB"/>
    <w:rsid w:val="006050F0"/>
    <w:rsid w:val="00697E3C"/>
    <w:rsid w:val="006C117F"/>
    <w:rsid w:val="006D0E03"/>
    <w:rsid w:val="006D72F7"/>
    <w:rsid w:val="007B4D87"/>
    <w:rsid w:val="00805E24"/>
    <w:rsid w:val="00806CD4"/>
    <w:rsid w:val="00971AA4"/>
    <w:rsid w:val="00A61DEA"/>
    <w:rsid w:val="00AA07C0"/>
    <w:rsid w:val="00DB3F48"/>
    <w:rsid w:val="00DB4BC7"/>
    <w:rsid w:val="00E72C26"/>
    <w:rsid w:val="00E76624"/>
    <w:rsid w:val="00EF145D"/>
    <w:rsid w:val="00F63280"/>
    <w:rsid w:val="00F743A0"/>
    <w:rsid w:val="00F8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F191F"/>
  <w15:chartTrackingRefBased/>
  <w15:docId w15:val="{F99ACF6A-0D72-441A-BC22-71CFF1AB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7C0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0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0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07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0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07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0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0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0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0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07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A07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07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07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07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07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07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07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07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0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0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0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0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0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07C0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AA07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07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07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07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07C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A07C0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AA07C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AA07C0"/>
    <w:rPr>
      <w:rFonts w:ascii="Calibri" w:eastAsia="Calibri" w:hAnsi="Calibri" w:cs="Times New Roman"/>
      <w:kern w:val="0"/>
      <w:sz w:val="20"/>
      <w:szCs w:val="20"/>
      <w:lang w:val="x-none"/>
    </w:rPr>
  </w:style>
  <w:style w:type="character" w:styleId="Odwoanieprzypisudolnego">
    <w:name w:val="footnote reference"/>
    <w:uiPriority w:val="99"/>
    <w:unhideWhenUsed/>
    <w:rsid w:val="00AA07C0"/>
    <w:rPr>
      <w:vertAlign w:val="superscript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A07C0"/>
  </w:style>
  <w:style w:type="paragraph" w:customStyle="1" w:styleId="Default">
    <w:name w:val="Default"/>
    <w:rsid w:val="00AA0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07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07C0"/>
    <w:rPr>
      <w:rFonts w:ascii="Georgia" w:eastAsia="Georgia" w:hAnsi="Georgia" w:cs="Georgia"/>
      <w:kern w:val="0"/>
    </w:rPr>
  </w:style>
  <w:style w:type="paragraph" w:styleId="Stopka">
    <w:name w:val="footer"/>
    <w:basedOn w:val="Normalny"/>
    <w:link w:val="StopkaZnak"/>
    <w:uiPriority w:val="99"/>
    <w:unhideWhenUsed/>
    <w:rsid w:val="00AA07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07C0"/>
    <w:rPr>
      <w:rFonts w:ascii="Georgia" w:eastAsia="Georgia" w:hAnsi="Georgia" w:cs="Georgia"/>
      <w:kern w:val="0"/>
    </w:rPr>
  </w:style>
  <w:style w:type="paragraph" w:styleId="Lista3">
    <w:name w:val="List 3"/>
    <w:basedOn w:val="Normalny"/>
    <w:uiPriority w:val="99"/>
    <w:rsid w:val="00805E24"/>
    <w:pPr>
      <w:suppressAutoHyphens/>
      <w:autoSpaceDE/>
      <w:autoSpaceDN/>
      <w:ind w:left="849" w:hanging="283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Zwykytekst1">
    <w:name w:val="Zwykły tekst1"/>
    <w:basedOn w:val="Normalny"/>
    <w:rsid w:val="00697E3C"/>
    <w:pPr>
      <w:widowControl/>
      <w:suppressAutoHyphens/>
      <w:autoSpaceDE/>
      <w:autoSpaceDN/>
    </w:pPr>
    <w:rPr>
      <w:rFonts w:ascii="Courier New" w:eastAsia="Times New Roman" w:hAnsi="Courier New" w:cs="Times New Roman"/>
      <w:sz w:val="20"/>
      <w:szCs w:val="20"/>
      <w:lang w:eastAsia="ar-SA"/>
      <w14:ligatures w14:val="non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A61DEA"/>
    <w:pPr>
      <w:spacing w:after="100"/>
    </w:pPr>
    <w:rPr>
      <w14:ligatures w14:val="none"/>
    </w:rPr>
  </w:style>
  <w:style w:type="paragraph" w:customStyle="1" w:styleId="Styl1">
    <w:name w:val="Styl1"/>
    <w:basedOn w:val="Normalny"/>
    <w:uiPriority w:val="99"/>
    <w:rsid w:val="00A61DEA"/>
    <w:pPr>
      <w:widowControl/>
      <w:tabs>
        <w:tab w:val="num" w:pos="360"/>
      </w:tabs>
      <w:adjustRightInd w:val="0"/>
      <w:jc w:val="both"/>
    </w:pPr>
    <w:rPr>
      <w:rFonts w:ascii="Arial" w:eastAsia="Calibri" w:hAnsi="Arial" w:cs="Times New Roman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1653</Words>
  <Characters>9919</Characters>
  <Application>Microsoft Office Word</Application>
  <DocSecurity>0</DocSecurity>
  <Lines>82</Lines>
  <Paragraphs>23</Paragraphs>
  <ScaleCrop>false</ScaleCrop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Szyfer</dc:creator>
  <cp:keywords/>
  <dc:description/>
  <cp:lastModifiedBy>Jolanta Szyfer</cp:lastModifiedBy>
  <cp:revision>2</cp:revision>
  <dcterms:created xsi:type="dcterms:W3CDTF">2026-07-15T08:58:00Z</dcterms:created>
  <dcterms:modified xsi:type="dcterms:W3CDTF">2026-07-15T08:58:00Z</dcterms:modified>
</cp:coreProperties>
</file>