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keepNext w:val="true"/>
        <w:tabs>
          <w:tab w:val="clear" w:pos="708"/>
          <w:tab w:val="left" w:pos="5334" w:leader="none"/>
          <w:tab w:val="left" w:pos="5610" w:leader="none"/>
        </w:tabs>
        <w:spacing w:lineRule="auto" w:line="360" w:before="0" w:after="0"/>
        <w:jc w:val="right"/>
        <w:rPr>
          <w:rFonts w:ascii="Calibri" w:hAnsi="Calibri" w:eastAsia="Times New Roman" w:cs="Calibri" w:asciiTheme="minorHAnsi" w:cstheme="minorHAnsi" w:hAnsiTheme="minorHAnsi"/>
          <w:b/>
          <w:b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  <w:t>Skarżysko - Kamienna, dnia 04.08.2026 r.</w:t>
      </w:r>
    </w:p>
    <w:p>
      <w:pPr>
        <w:pStyle w:val="Standard"/>
        <w:keepNext w:val="true"/>
        <w:tabs>
          <w:tab w:val="clear" w:pos="708"/>
          <w:tab w:val="left" w:pos="5334" w:leader="none"/>
          <w:tab w:val="left" w:pos="5610" w:leader="none"/>
        </w:tabs>
        <w:spacing w:lineRule="auto" w:line="360" w:before="0" w:after="0"/>
        <w:rPr>
          <w:rFonts w:ascii="Calibri" w:hAnsi="Calibri" w:eastAsia="Times New Roman" w:cs="Calibri" w:asciiTheme="minorHAnsi" w:cstheme="minorHAnsi" w:hAnsiTheme="minorHAnsi"/>
          <w:b/>
          <w:b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  <w:t>Znak postępowania</w:t>
      </w:r>
      <w:r>
        <w:rPr>
          <w:rFonts w:eastAsia="Times New Roman" w:cs="Calibri" w:cstheme="minorHAnsi"/>
          <w:color w:val="000000" w:themeColor="text1"/>
          <w:sz w:val="20"/>
          <w:szCs w:val="20"/>
          <w:lang w:eastAsia="pl-PL"/>
        </w:rPr>
        <w:t>:</w:t>
      </w:r>
      <w:r>
        <w:rPr>
          <w:rFonts w:eastAsia="Times New Roman" w:cs="Calibri" w:cstheme="minorHAnsi"/>
          <w:b/>
          <w:color w:val="000000" w:themeColor="text1"/>
          <w:sz w:val="20"/>
          <w:szCs w:val="20"/>
          <w:lang w:eastAsia="pl-PL"/>
        </w:rPr>
        <w:t xml:space="preserve"> </w:t>
      </w:r>
      <w:bookmarkStart w:id="0" w:name="_Hlk1617367652"/>
      <w:r>
        <w:rPr>
          <w:rFonts w:eastAsia="Times New Roman" w:cs="Calibri" w:cstheme="minorHAnsi"/>
          <w:b/>
          <w:color w:val="000000" w:themeColor="text1"/>
          <w:sz w:val="20"/>
          <w:szCs w:val="20"/>
          <w:lang w:eastAsia="pl-PL"/>
        </w:rPr>
        <w:t>1/CW/ZP/2026</w:t>
      </w:r>
      <w:bookmarkEnd w:id="0"/>
    </w:p>
    <w:p>
      <w:pPr>
        <w:pStyle w:val="Normal"/>
        <w:ind w:left="180" w:hanging="0"/>
        <w:jc w:val="center"/>
        <w:rPr>
          <w:rFonts w:cs="Calibri" w:cstheme="minorHAnsi"/>
          <w:b/>
          <w:b/>
          <w:szCs w:val="20"/>
        </w:rPr>
      </w:pPr>
      <w:r>
        <w:rPr>
          <w:rFonts w:cs="Calibri" w:cstheme="minorHAnsi"/>
          <w:b/>
          <w:szCs w:val="20"/>
        </w:rPr>
      </w:r>
    </w:p>
    <w:p>
      <w:pPr>
        <w:pStyle w:val="Normal"/>
        <w:ind w:left="180" w:hanging="0"/>
        <w:jc w:val="center"/>
        <w:rPr>
          <w:rFonts w:ascii="Calibri" w:hAnsi="Calibri" w:cs="Calibri" w:asciiTheme="minorHAnsi" w:cstheme="minorHAnsi" w:hAnsiTheme="minorHAnsi"/>
          <w:b/>
          <w:b/>
          <w:szCs w:val="20"/>
        </w:rPr>
      </w:pPr>
      <w:r>
        <w:rPr>
          <w:rFonts w:cs="Calibri" w:cstheme="minorHAnsi"/>
          <w:b/>
          <w:szCs w:val="20"/>
        </w:rPr>
        <w:t>WYKONAWCY BIORĄCY UDZIAŁ W POSTĘPOWANIU</w:t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i/>
          <w:i/>
          <w:color w:val="000000" w:themeColor="text1"/>
          <w:sz w:val="20"/>
          <w:szCs w:val="20"/>
        </w:rPr>
      </w:pPr>
      <w:r>
        <w:rPr>
          <w:rFonts w:eastAsia="Arial" w:cs="Calibri" w:cstheme="minorHAnsi"/>
          <w:i/>
          <w:color w:val="000000" w:themeColor="text1"/>
          <w:sz w:val="20"/>
          <w:szCs w:val="20"/>
        </w:rPr>
        <w:t xml:space="preserve">dot. postępowania o udzielenie zamówienia publicznego na </w:t>
      </w:r>
    </w:p>
    <w:p>
      <w:pPr>
        <w:pStyle w:val="Normal"/>
        <w:spacing w:before="0" w:after="0"/>
        <w:jc w:val="center"/>
        <w:rPr>
          <w:rFonts w:ascii="Calibri" w:hAnsi="Calibri" w:eastAsia="Arial" w:cs="Calibri" w:asciiTheme="minorHAnsi" w:cstheme="minorHAnsi" w:hAnsiTheme="minorHAnsi"/>
          <w:i/>
          <w:i/>
          <w:color w:val="000000" w:themeColor="text1"/>
          <w:sz w:val="20"/>
          <w:szCs w:val="20"/>
        </w:rPr>
      </w:pPr>
      <w:r>
        <w:rPr>
          <w:rFonts w:eastAsia="Arial" w:cs="Calibri" w:cstheme="minorHAnsi"/>
          <w:b/>
          <w:bCs/>
          <w:i/>
          <w:color w:val="000000" w:themeColor="text1"/>
          <w:sz w:val="24"/>
          <w:szCs w:val="24"/>
        </w:rPr>
        <w:t>„</w:t>
      </w:r>
      <w:r>
        <w:rPr>
          <w:rFonts w:eastAsia="Arial" w:cs="Calibri" w:cstheme="minorHAnsi"/>
          <w:b/>
          <w:bCs/>
          <w:i/>
          <w:color w:val="000000" w:themeColor="text1"/>
          <w:sz w:val="24"/>
          <w:szCs w:val="24"/>
        </w:rPr>
        <w:t>Podniesienie poziomu cyberbezpieczeństwa i budowa odporności na cyberzagrożenia w Miejskim Przedsiębiorstwie Wodociągów i Kanalizacji Spółka z o.o. w Skarżysku – Kamiennej”</w:t>
      </w:r>
    </w:p>
    <w:p>
      <w:pPr>
        <w:pStyle w:val="Normal"/>
        <w:spacing w:before="0" w:after="0"/>
        <w:jc w:val="center"/>
        <w:rPr>
          <w:rFonts w:ascii="Calibri" w:hAnsi="Calibri" w:eastAsia="Arial" w:cs="Calibri" w:asciiTheme="minorHAnsi" w:cstheme="minorHAnsi" w:hAnsiTheme="minorHAnsi"/>
          <w:i/>
          <w:i/>
          <w:color w:val="000000" w:themeColor="text1"/>
          <w:sz w:val="20"/>
          <w:szCs w:val="20"/>
        </w:rPr>
      </w:pPr>
      <w:r>
        <w:rPr>
          <w:rFonts w:eastAsia="Arial" w:cs="Calibri" w:cstheme="minorHAnsi"/>
          <w:i/>
          <w:color w:val="000000" w:themeColor="text1"/>
          <w:sz w:val="20"/>
          <w:szCs w:val="20"/>
        </w:rPr>
      </w:r>
    </w:p>
    <w:p>
      <w:pPr>
        <w:pStyle w:val="Normal"/>
        <w:spacing w:before="0" w:after="0"/>
        <w:jc w:val="center"/>
        <w:rPr>
          <w:rFonts w:ascii="Calibri" w:hAnsi="Calibri" w:eastAsia="Arial" w:cs="Calibri" w:asciiTheme="minorHAnsi" w:cstheme="minorHAnsi" w:hAnsiTheme="minorHAnsi"/>
          <w:i/>
          <w:i/>
          <w:color w:val="000000" w:themeColor="text1"/>
          <w:sz w:val="20"/>
          <w:szCs w:val="20"/>
        </w:rPr>
      </w:pPr>
      <w:r>
        <w:rPr>
          <w:rFonts w:eastAsia="Arial" w:cs="Calibri" w:cstheme="minorHAnsi"/>
          <w:b/>
          <w:bCs/>
          <w:i/>
          <w:color w:val="000000" w:themeColor="text1"/>
          <w:sz w:val="24"/>
          <w:szCs w:val="24"/>
        </w:rPr>
        <w:t>WYJAŚNIENIE TREŚCI SWZ NR 2</w:t>
      </w:r>
    </w:p>
    <w:p>
      <w:pPr>
        <w:pStyle w:val="Normal"/>
        <w:ind w:firstLine="708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</w:r>
    </w:p>
    <w:p>
      <w:pPr>
        <w:pStyle w:val="Normal"/>
        <w:ind w:firstLine="708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Zamawiający Miejskie Przedsiębiorstwo Wodociągów i Kanalizacji Sp. z o. o. działając na podstawie art. 284 ust 2 ustawy Prawo zamówień publicznych z dnia 11 września 2019 r. (Dz. U. z 2022, poz. 1710</w:t>
      </w:r>
      <w:r>
        <w:rPr>
          <w:rFonts w:cs="Calibri" w:cstheme="minorHAnsi"/>
          <w:bCs/>
          <w:sz w:val="20"/>
          <w:szCs w:val="20"/>
        </w:rPr>
        <w:t>),</w:t>
      </w:r>
      <w:r>
        <w:rPr>
          <w:rFonts w:cs="Calibri" w:cstheme="minorHAnsi"/>
          <w:sz w:val="20"/>
          <w:szCs w:val="20"/>
        </w:rPr>
        <w:t xml:space="preserve"> udziela wyjaśnień na następujące pytania, zadane do wyżej wymienionego postępowania:</w:t>
      </w:r>
    </w:p>
    <w:p>
      <w:pPr>
        <w:pStyle w:val="Normal"/>
        <w:jc w:val="both"/>
        <w:rPr>
          <w:sz w:val="18"/>
          <w:szCs w:val="18"/>
        </w:rPr>
      </w:pPr>
      <w:r>
        <w:rPr>
          <w:color w:val="0070C0"/>
          <w:sz w:val="18"/>
          <w:szCs w:val="18"/>
        </w:rPr>
        <w:t>Pytanie nr 1.</w:t>
      </w:r>
    </w:p>
    <w:p>
      <w:pPr>
        <w:pStyle w:val="Normal"/>
        <w:jc w:val="both"/>
        <w:rPr>
          <w:color w:val="000000"/>
        </w:rPr>
      </w:pPr>
      <w:r>
        <w:rPr>
          <w:color w:val="000000"/>
          <w:sz w:val="18"/>
          <w:szCs w:val="18"/>
        </w:rPr>
        <w:t xml:space="preserve">Załącznik nr 2A, pozycja 2: macierz dyskowa dla serwera bezpieczeństwa oraz magazynu logów i danych z monitorowania </w:t>
      </w:r>
    </w:p>
    <w:p>
      <w:pPr>
        <w:pStyle w:val="Normal"/>
        <w:jc w:val="both"/>
        <w:rPr>
          <w:color w:val="000000"/>
        </w:rPr>
      </w:pPr>
      <w:r>
        <w:rPr>
          <w:color w:val="000000"/>
          <w:sz w:val="18"/>
          <w:szCs w:val="18"/>
        </w:rPr>
        <w:t xml:space="preserve">Czy Zamawiający potwierdza, że wskazane w Załączniku nr 2A dokumenty dotyczące kompatybilności, wydajności, licencji, gwarancji, obsługiwanych systemów, funkcji RAID, replikacji, szyfrowania, RBAC i zarządzania mają charakter katalogu dopuszczalnych dokumentów, a nie obowiązku przedłożenia odrębnego dokumentu producenta dla każdego z wymienionych obszarów? </w:t>
      </w:r>
    </w:p>
    <w:p>
      <w:pPr>
        <w:pStyle w:val="Normal"/>
        <w:jc w:val="both"/>
        <w:rPr>
          <w:color w:val="000000"/>
        </w:rPr>
      </w:pPr>
      <w:r>
        <w:rPr>
          <w:color w:val="000000"/>
          <w:sz w:val="18"/>
          <w:szCs w:val="18"/>
        </w:rPr>
        <w:t xml:space="preserve">Treść Załącznika nr 2A stanowi, że „dopuszcza się” dokument producenta dotyczący wymienionych funkcji. Jednocześnie informacje dodatkowe przewidują możliwość złożenia kilku dokumentów ocenianych łącznie oraz potwierdzenia parametrów niewskazanych w dokumentacji oświadczeniem producenta, autoryzowanego przedstawiciela, dystrybutora, importera, integratora albo innym dokumentem równoważnym. </w:t>
      </w:r>
    </w:p>
    <w:p>
      <w:pPr>
        <w:pStyle w:val="Normal"/>
        <w:jc w:val="both"/>
        <w:rPr>
          <w:color w:val="000000"/>
        </w:rPr>
      </w:pPr>
      <w:r>
        <w:rPr>
          <w:color w:val="000000"/>
          <w:sz w:val="18"/>
          <w:szCs w:val="18"/>
        </w:rPr>
        <w:t>Prosimy zatem o potwierdzenie, że w przypadku zaoferowania macierzy spełniającej wymagania OPZ dopuszczalne będzie łączne wykazanie parametrów za pomocą karty katalogowej, specyfikacji konfiguracji, dokumentacji funkcjonalnej i gwarancyjnej oraz – wyłącznie w zakresie parametrów niewskazanych w tych materiałach – stosownego oświadczenia uprawnionego podmiotu.</w:t>
      </w:r>
    </w:p>
    <w:p>
      <w:pPr>
        <w:pStyle w:val="Normal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 xml:space="preserve">Odpowiedź na pytanie nr 1. </w:t>
      </w:r>
    </w:p>
    <w:p>
      <w:pPr>
        <w:pStyle w:val="Normal"/>
        <w:jc w:val="both"/>
        <w:rPr>
          <w:color w:val="000000"/>
        </w:rPr>
      </w:pPr>
      <w:r>
        <w:rPr>
          <w:sz w:val="18"/>
          <w:szCs w:val="18"/>
        </w:rPr>
        <w:t xml:space="preserve">Zamawiający potwierdza, </w:t>
      </w:r>
      <w:r>
        <w:rPr>
          <w:color w:val="000000"/>
          <w:sz w:val="18"/>
          <w:szCs w:val="18"/>
        </w:rPr>
        <w:t>że w przypadku zaoferowania macierzy spełniającej wymagania OPZ dopuszczalne będzie łączne wykazanie parametrów za pomocą karty katalogowej, specyfikacji konfiguracji, dokumentacji funkcjonalnej i gwarancyjnej oraz – wyłącznie w zakresie parametrów niewskazanych w tych materiałach – stosownego oświadczenia uprawnionego podmiotu.</w:t>
      </w:r>
    </w:p>
    <w:p>
      <w:pPr>
        <w:pStyle w:val="Normal"/>
        <w:jc w:val="both"/>
        <w:rPr>
          <w:sz w:val="18"/>
          <w:szCs w:val="18"/>
        </w:rPr>
      </w:pPr>
      <w:r>
        <w:rPr>
          <w:color w:val="0070C0"/>
          <w:sz w:val="18"/>
          <w:szCs w:val="18"/>
        </w:rPr>
        <w:t>Pytanie nr 2.</w:t>
      </w:r>
    </w:p>
    <w:p>
      <w:pPr>
        <w:pStyle w:val="Normal"/>
        <w:jc w:val="both"/>
        <w:rPr>
          <w:color w:val="000000"/>
        </w:rPr>
      </w:pPr>
      <w:r>
        <w:rPr>
          <w:color w:val="000000"/>
          <w:sz w:val="18"/>
          <w:szCs w:val="18"/>
        </w:rPr>
        <w:t xml:space="preserve">Pozycja 8 OPZ: oprogramowanie antywirusowe wraz z rozwiązaniem antyspamowym oraz EDR i XDR – Patch Management/Zarządzanie Aktualizacjami </w:t>
      </w:r>
    </w:p>
    <w:p>
      <w:pPr>
        <w:pStyle w:val="Normal"/>
        <w:jc w:val="both"/>
        <w:rPr>
          <w:color w:val="000000"/>
        </w:rPr>
      </w:pPr>
      <w:r>
        <w:rPr>
          <w:color w:val="000000"/>
          <w:sz w:val="18"/>
          <w:szCs w:val="18"/>
        </w:rPr>
        <w:t xml:space="preserve">Czy Zamawiający dopuści rozwiązanie, w którym moduł Patch Management/Zarządzanie Aktualizacjami nie zapewnia wsparcia dla następujących dystrybucji systemu Linux: </w:t>
      </w:r>
    </w:p>
    <w:p>
      <w:pPr>
        <w:pStyle w:val="Normal"/>
        <w:jc w:val="both"/>
        <w:rPr>
          <w:color w:val="000000"/>
        </w:rPr>
      </w:pPr>
      <w:r>
        <w:rPr>
          <w:color w:val="000000"/>
          <w:sz w:val="18"/>
          <w:szCs w:val="18"/>
        </w:rPr>
        <w:t xml:space="preserve">• </w:t>
      </w:r>
      <w:r>
        <w:rPr>
          <w:color w:val="000000"/>
          <w:sz w:val="18"/>
          <w:szCs w:val="18"/>
        </w:rPr>
        <w:t xml:space="preserve">CentOS 7 – GA+ (7.2003), </w:t>
      </w:r>
    </w:p>
    <w:p>
      <w:pPr>
        <w:pStyle w:val="Normal"/>
        <w:jc w:val="both"/>
        <w:rPr>
          <w:color w:val="000000"/>
        </w:rPr>
      </w:pPr>
      <w:r>
        <w:rPr>
          <w:color w:val="000000"/>
          <w:sz w:val="18"/>
          <w:szCs w:val="18"/>
        </w:rPr>
        <w:t xml:space="preserve">• </w:t>
      </w:r>
      <w:r>
        <w:rPr>
          <w:color w:val="000000"/>
          <w:sz w:val="18"/>
          <w:szCs w:val="18"/>
        </w:rPr>
        <w:t xml:space="preserve">Red Hat Enterprise Linux RHEL 7 – GA+ (7.1–7.9), przy zachowaniu wsparcia dla pozostałych systemów operacyjnych i funkcjonalności wymaganych w OPZ? </w:t>
      </w:r>
    </w:p>
    <w:p>
      <w:pPr>
        <w:pStyle w:val="Normal"/>
        <w:jc w:val="both"/>
        <w:rPr>
          <w:color w:val="000000"/>
        </w:rPr>
      </w:pPr>
      <w:r>
        <w:rPr>
          <w:color w:val="000000"/>
          <w:sz w:val="18"/>
          <w:szCs w:val="18"/>
        </w:rPr>
        <w:t xml:space="preserve">Wskazane dystrybucje należą do starszych generacji systemów Linux, a brak ich obsługi w module zarządzania aktualizacjami nie wpływa na funkcjonowanie pozostałych elementów oferowanego rozwiązania, w szczególności ochrony antywirusowej, EDR, XDR, ochrony tożsamości, sensora sieciowego ani ochrony urządzeń mobilnych. Dopuszczenie takiego rozwiązania nie obniży zatem zakresu ochrony środowiska Zamawiającego w odniesieniu do aktualnie wspieranych systemów. Proponowana zmiana zapisu: „Dopuszcza się brak wsparcia w module Patch Management/Zarządzanie Aktualizacjami dla systemów CentOS 7 – GA+ (7.2003) oraz Red Hat Enterprise Linux RHEL 7 – GA+ (7.1–7.9), przy zachowaniu pozostałych wymagań OPZ.” </w:t>
      </w:r>
    </w:p>
    <w:p>
      <w:pPr>
        <w:pStyle w:val="Normal"/>
        <w:jc w:val="both"/>
        <w:rPr>
          <w:color w:val="000000"/>
        </w:rPr>
      </w:pPr>
      <w:r>
        <w:rPr>
          <w:color w:val="000000"/>
          <w:sz w:val="18"/>
          <w:szCs w:val="18"/>
        </w:rPr>
        <w:t>Wnioskowane wyjaśnienia i zmiany mają na celu usunięcie niejednoznaczności dokumentacji, umożliwienie zaoferowania rozwiązań spełniających wymagania funkcjonalne Zamawiającego oraz jednoznaczne określenie zakresu przedmiotowych środków dowodowych.</w:t>
      </w:r>
    </w:p>
    <w:p>
      <w:pPr>
        <w:pStyle w:val="Normal"/>
        <w:rPr>
          <w:sz w:val="18"/>
          <w:szCs w:val="18"/>
        </w:rPr>
      </w:pPr>
      <w:r>
        <w:rPr>
          <w:color w:val="FF0000"/>
          <w:sz w:val="18"/>
          <w:szCs w:val="18"/>
        </w:rPr>
        <w:t xml:space="preserve">Odpowiedź na pytanie nr 2. </w:t>
      </w:r>
    </w:p>
    <w:p>
      <w:pPr>
        <w:pStyle w:val="Norma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Zamawiający dopuszcza również rozwiązanie, w którym moduł Patch Management/Zarządzanie Aktualizacjami nie zapewnia wsparcia dla następujących dystrybucji systemu Linux: 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 xml:space="preserve">• </w:t>
      </w:r>
      <w:r>
        <w:rPr>
          <w:sz w:val="18"/>
          <w:szCs w:val="18"/>
        </w:rPr>
        <w:t xml:space="preserve">CentOS 7 – GA+ (7.2003), </w:t>
      </w:r>
    </w:p>
    <w:p>
      <w:pPr>
        <w:pStyle w:val="Norma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• </w:t>
      </w:r>
      <w:r>
        <w:rPr>
          <w:sz w:val="18"/>
          <w:szCs w:val="18"/>
        </w:rPr>
        <w:t>Red Hat Enterprise Linux RHEL 7 – GA+ (7.1–7.9), przy zachowaniu wsparcia dla pozostałych systemów operacyjnych i funkcjonalności wymaganych w OPZ.</w:t>
      </w:r>
    </w:p>
    <w:p>
      <w:pPr>
        <w:pStyle w:val="Normal"/>
        <w:jc w:val="both"/>
        <w:rPr>
          <w:sz w:val="18"/>
          <w:szCs w:val="18"/>
        </w:rPr>
      </w:pPr>
      <w:r>
        <w:rPr>
          <w:color w:val="0070C0"/>
          <w:sz w:val="18"/>
          <w:szCs w:val="18"/>
        </w:rPr>
        <w:t>Pytanie nr 3</w:t>
      </w:r>
    </w:p>
    <w:p>
      <w:pPr>
        <w:pStyle w:val="Normal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Pozycja 15 OPZ: monitory do stacji roboczej przesiadkowej – wielkość plamki oraz funkcjonalność podstawy </w:t>
      </w:r>
    </w:p>
    <w:p>
      <w:pPr>
        <w:pStyle w:val="Normal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Czy Zamawiający dopuści monitory 27-calowe o rozdzielczości 1920 × 1080, w których wielkość plamki wynosi maksymalnie 0,312 mm, przy zachowaniu wszystkich pozostałych parametrów wymaganych w OPZ, w tym matrycy IPS, częstotliwości odświeżania minimum 100 Hz, jasności minimum 300 nitów, kontrastu minimum 1500:1 oraz wymaganej regulacji podstawy? </w:t>
      </w:r>
    </w:p>
    <w:p>
      <w:pPr>
        <w:pStyle w:val="Normal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W pozycji 15 OPZ, dla dwóch monitorów przeznaczonych do stacji roboczej przesiadkowej, Zamawiający wymaga ekranu o przekątnej minimum 27 cali, rozdzielczości minimum 1920 × 1080 oraz wielkości plamki nie większej niż 0,24 mm. Dla standardowego panelu 27-calowego Full HD szerokość aktywnego obrazu wynosi około 598 mm, co przy 1920 pikselach daje plamkę około 0,311 mm. Parametr 0,24 mm jest charakterystyczny raczej dla paneli o wyższej rozdzielczości albo mniejszej przekątnej i w praktyce wyklucza typowe monitory 27-calowe Full HD, mimo spełniania przez nie pozostałych wymagań funkcjonalnych. Jednocześnie prosimy o potwierdzenie, że wymagania dotyczące podstawy monitora należy rozumieć jako wyposażenie w funkcje: regulacji pochylenia, obrotu w poziomie, obrotu ekranu do pozycji pionowej oraz regulacji wysokości, bez określania minimalnych zakresów kątowych obrotu i pochylenia ani minimalnego zakresu regulacji wysokości. Proponowana zmiana zapisu: „Wielkość plamki (pojedynczego piksela): maksymalnie 0,312 mm. Podstawa monitora wyposażona w funkcje regulacji pochylenia, obrotu w poziomie, obrotu ekranu do pozycji pionowej oraz regulacji wysokości, bez określania minimalnych zakresów kątowych obrotu i pochylenia ani minimalnego zakresu regulacji wysokości.”</w:t>
      </w:r>
    </w:p>
    <w:p>
      <w:pPr>
        <w:pStyle w:val="Normal"/>
        <w:jc w:val="both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Odpowiedź na pytanie nr 3</w:t>
      </w:r>
    </w:p>
    <w:p>
      <w:pPr>
        <w:pStyle w:val="Normal"/>
        <w:spacing w:before="0" w:after="0"/>
        <w:jc w:val="both"/>
        <w:rPr>
          <w:color w:val="000000"/>
          <w:sz w:val="18"/>
          <w:szCs w:val="18"/>
        </w:rPr>
      </w:pPr>
      <w:r>
        <w:rPr>
          <w:sz w:val="18"/>
          <w:szCs w:val="18"/>
        </w:rPr>
        <w:t xml:space="preserve">Zamawiający </w:t>
      </w:r>
      <w:r>
        <w:rPr>
          <w:color w:val="000000"/>
          <w:sz w:val="18"/>
          <w:szCs w:val="18"/>
        </w:rPr>
        <w:t>dopuszcza również monitory 27-calowe o rozdzielczości 1920 × 1080, w których wielkość plamki wynosi maksymalnie 0,312 mm, przy zachowaniu wszystkich pozostałych parametrów wymaganych w OPZ, w tym matrycy IPS, częstotliwości odświeżania minimum 100 Hz, jasności minimum 300 nitów, kontrastu minimum 1500:1.</w:t>
      </w:r>
    </w:p>
    <w:p>
      <w:pPr>
        <w:pStyle w:val="Normal"/>
        <w:spacing w:before="0" w:after="0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>Zamawiający wymaga spełnienia minimalnych parametrów kątowych obrotu i pochylenia oraz minimalnego zakresu regulacji wysokości dla stopy/podstawy monitora określonych w OPZ.</w:t>
      </w:r>
    </w:p>
    <w:p>
      <w:pPr>
        <w:pStyle w:val="Normal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</w:r>
    </w:p>
    <w:p>
      <w:pPr>
        <w:pStyle w:val="Normal"/>
        <w:jc w:val="both"/>
        <w:rPr>
          <w:sz w:val="18"/>
          <w:szCs w:val="18"/>
        </w:rPr>
      </w:pPr>
      <w:r>
        <w:rPr>
          <w:color w:val="0070C0"/>
          <w:sz w:val="18"/>
          <w:szCs w:val="18"/>
        </w:rPr>
        <w:t>Pytanie nr 4</w:t>
      </w:r>
    </w:p>
    <w:p>
      <w:pPr>
        <w:pStyle w:val="Normal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Załącznik nr 2A, pozycja 3: serwer kopii zapasowych wraz z usługą lub licencją do duplikacji </w:t>
      </w:r>
    </w:p>
    <w:p>
      <w:pPr>
        <w:pStyle w:val="Normal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W pozycji 3 OPZ Zamawiający posłużył się określeniem: „Serwer kopii zapasowych przeznaczony do kopii zapasowych wraz z usługą/licencją do duplikacji”. </w:t>
      </w:r>
    </w:p>
    <w:p>
      <w:pPr>
        <w:pStyle w:val="Normal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Prosimy o wyjaśnienie, co Zamawiający rozumie przez zapis „wraz z usługą/licencją do duplikacji”, oraz o odpowiednie doprecyzowanie i zmianę tego zapisu w dokumentacji postępowania.</w:t>
      </w:r>
    </w:p>
    <w:p>
      <w:pPr>
        <w:pStyle w:val="Normal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</w:r>
    </w:p>
    <w:p>
      <w:pPr>
        <w:pStyle w:val="Normal"/>
        <w:jc w:val="both"/>
        <w:rPr>
          <w:sz w:val="18"/>
          <w:szCs w:val="18"/>
        </w:rPr>
      </w:pPr>
      <w:r>
        <w:rPr>
          <w:color w:val="FF0000"/>
          <w:sz w:val="18"/>
          <w:szCs w:val="18"/>
        </w:rPr>
        <w:t>Odpowiedź na pytanie nr 4</w:t>
      </w:r>
    </w:p>
    <w:p>
      <w:pPr>
        <w:pStyle w:val="Normal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Zamawiający wyjaśnia, że zapis „do duplikacji” wynika z błędu pisarskiego, powinno być „do deduplikacji”.  Zamawiający rozumie przez ten zapis możliwość instalacji i wdrażania usługi do deduplikacji przez oprogramowanie do kopii zapasowych, które będzie docelowo zainstalowane przez Zmawiającego i zapewni rozwiązanie w zakresie deduplikacji.</w:t>
      </w:r>
    </w:p>
    <w:p>
      <w:pPr>
        <w:pStyle w:val="Normal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rFonts w:ascii="Verdana" w:hAnsi="Verdana"/>
          <w:b/>
          <w:bCs/>
          <w:color w:val="000000"/>
          <w:sz w:val="16"/>
          <w:szCs w:val="16"/>
        </w:rPr>
        <w:t xml:space="preserve">Niniejszy dokument stanowi integralną część dokumentacji </w:t>
      </w:r>
      <w:r>
        <w:rPr>
          <w:rFonts w:ascii="Verdana" w:hAnsi="Verdana"/>
          <w:b/>
          <w:bCs/>
          <w:color w:val="000000"/>
          <w:sz w:val="16"/>
          <w:szCs w:val="16"/>
        </w:rPr>
        <w:t>zamówienia</w:t>
      </w:r>
      <w:r>
        <w:rPr>
          <w:rFonts w:ascii="Verdana" w:hAnsi="Verdana"/>
          <w:b/>
          <w:bCs/>
          <w:color w:val="000000"/>
          <w:sz w:val="16"/>
          <w:szCs w:val="16"/>
        </w:rPr>
        <w:t>!!!!</w:t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before="0" w:after="200"/>
        <w:jc w:val="both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567" w:top="1596" w:footer="340" w:bottom="1135"/>
      <w:pgNumType w:fmt="decimal"/>
      <w:formProt w:val="false"/>
      <w:textDirection w:val="lrTb"/>
      <w:docGrid w:type="default" w:linePitch="299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swiss"/>
    <w:pitch w:val="variable"/>
  </w:font>
  <w:font w:name="Arial">
    <w:charset w:val="ee"/>
    <w:family w:val="swiss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  <w:font w:name="MS Sans Serif">
    <w:charset w:val="ee"/>
    <w:family w:val="roman"/>
    <w:pitch w:val="variable"/>
  </w:font>
  <w:font w:name="Tahoma">
    <w:charset w:val="ee"/>
    <w:family w:val="roman"/>
    <w:pitch w:val="variable"/>
  </w:font>
  <w:font w:name="Verdana">
    <w:charset w:val="ee"/>
    <w:family w:val="roman"/>
    <w:pitch w:val="variable"/>
  </w:font>
  <w:font w:name="Courier New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ms Rmn">
    <w:altName w:val="Times New Roman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755958348"/>
    </w:sdtPr>
    <w:sdtContent>
      <w:p>
        <w:pPr>
          <w:pStyle w:val="Stopka"/>
          <w:rPr>
            <w:sz w:val="14"/>
            <w:szCs w:val="14"/>
          </w:rPr>
        </w:pPr>
        <w:r>
          <w:rPr>
            <w:rFonts w:ascii="Times New Roman" w:hAnsi="Times New Roman"/>
            <w:sz w:val="16"/>
            <w:szCs w:val="16"/>
          </w:rPr>
          <w:t xml:space="preserve">                                                                                                                                                                                                                        </w:t>
        </w:r>
        <w:r>
          <w:rPr>
            <w:rFonts w:ascii="Times New Roman" w:hAnsi="Times New Roman"/>
            <w:sz w:val="16"/>
            <w:szCs w:val="16"/>
            <w:lang w:val="pl-PL"/>
          </w:rPr>
          <w:t xml:space="preserve">Strona </w:t>
        </w:r>
        <w:r>
          <w:rPr>
            <w:rFonts w:ascii="Times New Roman" w:hAnsi="Times New Roman"/>
            <w:bCs/>
            <w:sz w:val="16"/>
            <w:szCs w:val="16"/>
          </w:rPr>
          <w:fldChar w:fldCharType="begin"/>
        </w:r>
        <w:r>
          <w:rPr>
            <w:sz w:val="16"/>
            <w:szCs w:val="16"/>
            <w:bCs/>
            <w:rFonts w:ascii="Times New Roman" w:hAnsi="Times New Roman"/>
          </w:rPr>
          <w:instrText xml:space="preserve"> PAGE </w:instrText>
        </w:r>
        <w:r>
          <w:rPr>
            <w:sz w:val="16"/>
            <w:szCs w:val="16"/>
            <w:bCs/>
            <w:rFonts w:ascii="Times New Roman" w:hAnsi="Times New Roman"/>
          </w:rPr>
          <w:fldChar w:fldCharType="separate"/>
        </w:r>
        <w:r>
          <w:rPr>
            <w:sz w:val="16"/>
            <w:szCs w:val="16"/>
            <w:bCs/>
            <w:rFonts w:ascii="Times New Roman" w:hAnsi="Times New Roman"/>
          </w:rPr>
          <w:t>3</w:t>
        </w:r>
        <w:r>
          <w:rPr>
            <w:sz w:val="16"/>
            <w:szCs w:val="16"/>
            <w:bCs/>
            <w:rFonts w:ascii="Times New Roman" w:hAnsi="Times New Roman"/>
          </w:rPr>
          <w:fldChar w:fldCharType="end"/>
        </w:r>
        <w:r>
          <w:rPr>
            <w:rFonts w:ascii="Times New Roman" w:hAnsi="Times New Roman"/>
            <w:sz w:val="16"/>
            <w:szCs w:val="16"/>
            <w:lang w:val="pl-PL"/>
          </w:rPr>
          <w:t xml:space="preserve"> z </w:t>
        </w:r>
        <w:r>
          <w:rPr>
            <w:rFonts w:ascii="Times New Roman" w:hAnsi="Times New Roman"/>
            <w:bCs/>
            <w:sz w:val="16"/>
            <w:szCs w:val="16"/>
          </w:rPr>
          <w:fldChar w:fldCharType="begin"/>
        </w:r>
        <w:r>
          <w:rPr>
            <w:sz w:val="16"/>
            <w:szCs w:val="16"/>
            <w:bCs/>
            <w:rFonts w:ascii="Times New Roman" w:hAnsi="Times New Roman"/>
          </w:rPr>
          <w:instrText xml:space="preserve"> NUMPAGES </w:instrText>
        </w:r>
        <w:r>
          <w:rPr>
            <w:sz w:val="16"/>
            <w:szCs w:val="16"/>
            <w:bCs/>
            <w:rFonts w:ascii="Times New Roman" w:hAnsi="Times New Roman"/>
          </w:rPr>
          <w:fldChar w:fldCharType="separate"/>
        </w:r>
        <w:r>
          <w:rPr>
            <w:sz w:val="16"/>
            <w:szCs w:val="16"/>
            <w:bCs/>
            <w:rFonts w:ascii="Times New Roman" w:hAnsi="Times New Roman"/>
          </w:rPr>
          <w:t>3</w:t>
        </w:r>
        <w:r>
          <w:rPr>
            <w:sz w:val="16"/>
            <w:szCs w:val="16"/>
            <w:bCs/>
            <w:rFonts w:ascii="Times New Roman" w:hAnsi="Times New Roman"/>
          </w:rPr>
          <w:fldChar w:fldCharType="end"/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jc w:val="center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page">
            <wp:posOffset>968375</wp:posOffset>
          </wp:positionH>
          <wp:positionV relativeFrom="page">
            <wp:posOffset>297180</wp:posOffset>
          </wp:positionV>
          <wp:extent cx="5602605" cy="375285"/>
          <wp:effectExtent l="0" t="0" r="0" b="0"/>
          <wp:wrapNone/>
          <wp:docPr id="1" name="Imag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2605" cy="375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F"/>
        <w:kern w:val="2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62f7f"/>
    <w:pPr>
      <w:widowControl w:val="false"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SimSun" w:cs="F"/>
      <w:color w:val="auto"/>
      <w:kern w:val="2"/>
      <w:sz w:val="22"/>
      <w:szCs w:val="22"/>
      <w:lang w:val="pl-PL" w:eastAsia="en-US" w:bidi="ar-SA"/>
    </w:rPr>
  </w:style>
  <w:style w:type="paragraph" w:styleId="Nagwek1">
    <w:name w:val="Heading 1"/>
    <w:basedOn w:val="Standard"/>
    <w:next w:val="Textbody"/>
    <w:uiPriority w:val="9"/>
    <w:qFormat/>
    <w:rsid w:val="00864581"/>
    <w:pPr>
      <w:keepNext w:val="true"/>
      <w:spacing w:lineRule="auto" w:line="240" w:before="240" w:after="0"/>
      <w:jc w:val="center"/>
      <w:outlineLvl w:val="0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2">
    <w:name w:val="Heading 2"/>
    <w:basedOn w:val="Standard"/>
    <w:next w:val="Textbody"/>
    <w:uiPriority w:val="9"/>
    <w:unhideWhenUsed/>
    <w:qFormat/>
    <w:pPr>
      <w:keepNext w:val="true"/>
      <w:spacing w:lineRule="auto" w:line="240" w:before="240" w:after="0"/>
      <w:jc w:val="center"/>
      <w:outlineLvl w:val="1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3">
    <w:name w:val="Heading 3"/>
    <w:basedOn w:val="Standard"/>
    <w:next w:val="Textbody"/>
    <w:uiPriority w:val="9"/>
    <w:unhideWhenUsed/>
    <w:qFormat/>
    <w:pPr>
      <w:keepNext w:val="true"/>
      <w:spacing w:lineRule="auto" w:line="240" w:before="240" w:after="60"/>
      <w:outlineLvl w:val="2"/>
    </w:pPr>
    <w:rPr>
      <w:rFonts w:ascii="Arial" w:hAnsi="Arial" w:eastAsia="Times New Roman" w:cs="Times New Roman"/>
      <w:sz w:val="24"/>
      <w:szCs w:val="20"/>
      <w:lang w:eastAsia="pl-PL"/>
    </w:rPr>
  </w:style>
  <w:style w:type="paragraph" w:styleId="Nagwek4">
    <w:name w:val="Heading 4"/>
    <w:basedOn w:val="Standard"/>
    <w:next w:val="Textbody"/>
    <w:uiPriority w:val="9"/>
    <w:unhideWhenUsed/>
    <w:qFormat/>
    <w:pPr>
      <w:keepNext w:val="true"/>
      <w:spacing w:lineRule="auto" w:line="240" w:before="240" w:after="0"/>
      <w:ind w:right="152" w:hanging="0"/>
      <w:jc w:val="center"/>
      <w:outlineLvl w:val="3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5">
    <w:name w:val="Heading 5"/>
    <w:basedOn w:val="Standard"/>
    <w:next w:val="Textbody"/>
    <w:uiPriority w:val="9"/>
    <w:unhideWhenUsed/>
    <w:qFormat/>
    <w:pPr>
      <w:keepNext w:val="true"/>
      <w:spacing w:lineRule="auto" w:line="240" w:before="240" w:after="0"/>
      <w:jc w:val="center"/>
      <w:outlineLvl w:val="4"/>
    </w:pPr>
    <w:rPr>
      <w:rFonts w:ascii="Times New Roman" w:hAnsi="Times New Roman" w:eastAsia="Times New Roman" w:cs="Times New Roman"/>
      <w:b/>
      <w:sz w:val="26"/>
      <w:szCs w:val="20"/>
      <w:lang w:eastAsia="pl-PL"/>
    </w:rPr>
  </w:style>
  <w:style w:type="paragraph" w:styleId="Nagwek6">
    <w:name w:val="Heading 6"/>
    <w:basedOn w:val="Standard"/>
    <w:next w:val="Textbody"/>
    <w:uiPriority w:val="9"/>
    <w:semiHidden/>
    <w:unhideWhenUsed/>
    <w:qFormat/>
    <w:pPr>
      <w:keepNext w:val="true"/>
      <w:spacing w:lineRule="auto" w:line="240" w:before="240" w:after="0"/>
      <w:jc w:val="right"/>
      <w:outlineLvl w:val="5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7">
    <w:name w:val="Heading 7"/>
    <w:basedOn w:val="Standard"/>
    <w:next w:val="Textbody"/>
    <w:qFormat/>
    <w:pPr>
      <w:keepNext w:val="true"/>
      <w:spacing w:lineRule="auto" w:line="240" w:before="240" w:after="0"/>
      <w:ind w:left="770" w:right="-29" w:hanging="770"/>
      <w:outlineLvl w:val="6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Nagwek8">
    <w:name w:val="Heading 8"/>
    <w:basedOn w:val="Standard"/>
    <w:next w:val="Textbody"/>
    <w:qFormat/>
    <w:pPr>
      <w:keepNext w:val="true"/>
      <w:spacing w:lineRule="auto" w:line="240" w:before="240" w:after="0"/>
      <w:outlineLvl w:val="7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9">
    <w:name w:val="Heading 9"/>
    <w:basedOn w:val="Standard"/>
    <w:next w:val="Textbody"/>
    <w:qFormat/>
    <w:pPr>
      <w:keepNext w:val="true"/>
      <w:spacing w:lineRule="auto" w:line="240" w:before="240" w:after="0"/>
      <w:ind w:right="-800" w:hanging="0"/>
      <w:jc w:val="center"/>
      <w:outlineLvl w:val="8"/>
    </w:pPr>
    <w:rPr>
      <w:rFonts w:ascii="Times New Roman" w:hAnsi="Times New Roman" w:eastAsia="Times New Roman" w:cs="Times New Roman"/>
      <w:b/>
      <w:i/>
      <w:sz w:val="24"/>
      <w:szCs w:val="20"/>
      <w:lang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qFormat/>
    <w:rPr>
      <w:rFonts w:ascii="Arial" w:hAnsi="Arial" w:eastAsia="Times New Roman" w:cs="Times New Roman"/>
      <w:b/>
      <w:sz w:val="32"/>
      <w:szCs w:val="20"/>
      <w:lang w:eastAsia="pl-PL"/>
    </w:rPr>
  </w:style>
  <w:style w:type="character" w:styleId="Nagwek2Znak" w:customStyle="1">
    <w:name w:val="Nagłówek 2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Nagwek3Znak" w:customStyle="1">
    <w:name w:val="Nagłówek 3 Znak"/>
    <w:basedOn w:val="DefaultParagraphFont"/>
    <w:qFormat/>
    <w:rPr>
      <w:rFonts w:ascii="Arial" w:hAnsi="Arial" w:eastAsia="Times New Roman" w:cs="Times New Roman"/>
      <w:sz w:val="24"/>
      <w:szCs w:val="20"/>
      <w:lang w:eastAsia="pl-PL"/>
    </w:rPr>
  </w:style>
  <w:style w:type="character" w:styleId="Nagwek4Znak" w:customStyle="1">
    <w:name w:val="Nagłówek 4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Nagwek5Znak" w:customStyle="1">
    <w:name w:val="Nagłówek 5 Znak"/>
    <w:basedOn w:val="DefaultParagraphFont"/>
    <w:qFormat/>
    <w:rPr>
      <w:rFonts w:ascii="Times New Roman" w:hAnsi="Times New Roman" w:eastAsia="Times New Roman" w:cs="Times New Roman"/>
      <w:b/>
      <w:sz w:val="26"/>
      <w:szCs w:val="20"/>
      <w:lang w:eastAsia="pl-PL"/>
    </w:rPr>
  </w:style>
  <w:style w:type="character" w:styleId="Nagwek6Znak" w:customStyle="1">
    <w:name w:val="Nagłówek 6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Nagwek7Znak" w:customStyle="1">
    <w:name w:val="Nagłówek 7 Znak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Nagwek8Znak" w:customStyle="1">
    <w:name w:val="Nagłówek 8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Nagwek9Znak" w:customStyle="1">
    <w:name w:val="Nagłówek 9 Znak"/>
    <w:basedOn w:val="DefaultParagraphFont"/>
    <w:qFormat/>
    <w:rPr>
      <w:rFonts w:ascii="Times New Roman" w:hAnsi="Times New Roman" w:eastAsia="Times New Roman" w:cs="Times New Roman"/>
      <w:b/>
      <w:i/>
      <w:sz w:val="24"/>
      <w:szCs w:val="20"/>
      <w:lang w:eastAsia="pl-PL"/>
    </w:rPr>
  </w:style>
  <w:style w:type="character" w:styleId="TekstpodstawowywcityZnak" w:customStyle="1">
    <w:name w:val="Tekst podstawowy wcięty Znak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odstawowywcity3Znak" w:customStyle="1">
    <w:name w:val="Tekst podstawowy wcięty 3 Znak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odstawowy3Znak" w:customStyle="1">
    <w:name w:val="Tekst podstawowy 3 Znak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odstawowyZnak" w:customStyle="1">
    <w:name w:val="Tekst podstawowy Znak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odstawowywcity2Znak" w:customStyle="1">
    <w:name w:val="Tekst podstawowy wcięty 2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Pagenumber">
    <w:name w:val="page number"/>
    <w:basedOn w:val="DefaultParagraphFont"/>
    <w:qFormat/>
    <w:rPr/>
  </w:style>
  <w:style w:type="character" w:styleId="StopkaZnak" w:customStyle="1">
    <w:name w:val="Stopka Znak"/>
    <w:basedOn w:val="DefaultParagraphFont"/>
    <w:uiPriority w:val="99"/>
    <w:qFormat/>
    <w:rPr>
      <w:rFonts w:ascii="MS Sans Serif" w:hAnsi="MS Sans Serif" w:eastAsia="Times New Roman" w:cs="Times New Roman"/>
      <w:sz w:val="20"/>
      <w:szCs w:val="20"/>
      <w:lang w:val="en-US" w:eastAsia="pl-PL"/>
    </w:rPr>
  </w:style>
  <w:style w:type="character" w:styleId="Czeinternetowe" w:customStyle="1">
    <w:name w:val="Łącze internetowe"/>
    <w:basedOn w:val="DefaultParagraphFont"/>
    <w:qFormat/>
    <w:rPr>
      <w:color w:val="0000FF"/>
      <w:u w:val="single"/>
    </w:rPr>
  </w:style>
  <w:style w:type="character" w:styleId="TytuZnak" w:customStyle="1">
    <w:name w:val="Tytuł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PodtytuZnak" w:customStyle="1">
    <w:name w:val="Podtytuł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Tekstpodstawowy2Znak" w:customStyle="1">
    <w:name w:val="Tekst podstawowy 2 Znak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NagwekZnak" w:customStyle="1">
    <w:name w:val="Nagłówek Znak"/>
    <w:basedOn w:val="DefaultParagraphFont"/>
    <w:uiPriority w:val="99"/>
    <w:qFormat/>
    <w:rPr>
      <w:rFonts w:ascii="Times New Roman" w:hAnsi="Times New Roman" w:eastAsia="Times New Roman" w:cs="Times New Roman"/>
      <w:b/>
      <w:sz w:val="144"/>
      <w:szCs w:val="24"/>
      <w:lang w:eastAsia="pl-PL"/>
    </w:rPr>
  </w:style>
  <w:style w:type="character" w:styleId="TekstdymkaZnak" w:customStyle="1">
    <w:name w:val="Tekst dymka Znak"/>
    <w:basedOn w:val="DefaultParagraphFont"/>
    <w:qFormat/>
    <w:rPr>
      <w:rFonts w:ascii="Tahoma" w:hAnsi="Tahoma" w:eastAsia="Times New Roman" w:cs="Tahoma"/>
      <w:sz w:val="16"/>
      <w:szCs w:val="16"/>
      <w:lang w:eastAsia="pl-PL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TekstkomentarzaZnak" w:customStyle="1">
    <w:name w:val="Tekst komentarza Znak"/>
    <w:basedOn w:val="DefaultParagraphFont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matkomentarzaZnak" w:customStyle="1">
    <w:name w:val="Temat komentarza Znak"/>
    <w:basedOn w:val="TekstkomentarzaZnak"/>
    <w:qFormat/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character" w:styleId="TekstpodstawowyzwciciemZnak" w:customStyle="1">
    <w:name w:val="Tekst podstawowy z wcięciem Znak"/>
    <w:basedOn w:val="TekstpodstawowyZnak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podstawowyzwciciem2Znak" w:customStyle="1">
    <w:name w:val="Tekst podstawowy z wcięciem 2 Znak"/>
    <w:basedOn w:val="TekstpodstawowywcityZnak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MapadokumentuZnak" w:customStyle="1">
    <w:name w:val="Mapa dokumentu Znak"/>
    <w:basedOn w:val="DefaultParagraphFont"/>
    <w:qFormat/>
    <w:rPr>
      <w:rFonts w:ascii="Tahoma" w:hAnsi="Tahoma" w:eastAsia="Times New Roman" w:cs="Tahoma"/>
      <w:sz w:val="20"/>
      <w:szCs w:val="20"/>
      <w:lang w:eastAsia="pl-PL"/>
    </w:rPr>
  </w:style>
  <w:style w:type="character" w:styleId="TekstprzypisukocowegoZnak" w:customStyle="1">
    <w:name w:val="Tekst przypisu końcowego Znak"/>
    <w:basedOn w:val="DefaultParagraphFont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EndnoteCharacters" w:customStyle="1">
    <w:name w:val="Endnote Characters"/>
    <w:qFormat/>
    <w:rPr/>
  </w:style>
  <w:style w:type="character" w:styleId="Text1" w:customStyle="1">
    <w:name w:val="text1"/>
    <w:qFormat/>
    <w:rPr>
      <w:rFonts w:ascii="Verdana" w:hAnsi="Verdana"/>
      <w:color w:val="000000"/>
      <w:sz w:val="20"/>
      <w:szCs w:val="20"/>
    </w:rPr>
  </w:style>
  <w:style w:type="character" w:styleId="ZwykytekstZnak" w:customStyle="1">
    <w:name w:val="Zwykły tekst Znak"/>
    <w:basedOn w:val="DefaultParagraphFont"/>
    <w:qFormat/>
    <w:rPr>
      <w:rFonts w:ascii="Courier New" w:hAnsi="Courier New" w:eastAsia="Times New Roman" w:cs="Courier New"/>
      <w:sz w:val="20"/>
      <w:szCs w:val="20"/>
      <w:lang w:eastAsia="pl-PL"/>
    </w:rPr>
  </w:style>
  <w:style w:type="character" w:styleId="Domylnaczcionkaakapitu1" w:customStyle="1">
    <w:name w:val="Domyślna czcionka akapitu1"/>
    <w:qFormat/>
    <w:rPr/>
  </w:style>
  <w:style w:type="character" w:styleId="Znakinumeracji" w:customStyle="1">
    <w:name w:val="Znaki numeracji"/>
    <w:qFormat/>
    <w:rPr/>
  </w:style>
  <w:style w:type="character" w:styleId="TekstpodstawowyZnak1" w:customStyle="1">
    <w:name w:val="Tekst podstawowy Znak1"/>
    <w:basedOn w:val="DefaultParagraphFont"/>
    <w:qFormat/>
    <w:rPr/>
  </w:style>
  <w:style w:type="character" w:styleId="TekstprzypisudolnegoZnak" w:customStyle="1">
    <w:name w:val="Tekst przypisu dolnego Znak"/>
    <w:basedOn w:val="DefaultParagraphFont"/>
    <w:qFormat/>
    <w:rPr>
      <w:sz w:val="20"/>
      <w:szCs w:val="20"/>
    </w:rPr>
  </w:style>
  <w:style w:type="character" w:styleId="Zakotwiczenieprzypisudolnego" w:customStyle="1">
    <w:name w:val="Zakotwiczenie przypisu dolnego"/>
    <w:rPr>
      <w:vertAlign w:val="superscript"/>
    </w:rPr>
  </w:style>
  <w:style w:type="character" w:styleId="FootnoteCharacters" w:customStyle="1">
    <w:name w:val="Footnote Characters"/>
    <w:basedOn w:val="DefaultParagraphFont"/>
    <w:qFormat/>
    <w:rPr>
      <w:vertAlign w:val="superscript"/>
    </w:rPr>
  </w:style>
  <w:style w:type="character" w:styleId="Znakiprzypiswdolnych" w:customStyle="1">
    <w:name w:val="Znaki przypisów dolnych"/>
    <w:qFormat/>
    <w:rPr/>
  </w:style>
  <w:style w:type="character" w:styleId="Znakiprzypiswkocowych" w:customStyle="1">
    <w:name w:val="Znaki przypisów końcowych"/>
    <w:qFormat/>
    <w:rPr/>
  </w:style>
  <w:style w:type="character" w:styleId="NagwekZnak1" w:customStyle="1">
    <w:name w:val="Nagłówek Znak1"/>
    <w:basedOn w:val="DefaultParagraphFont"/>
    <w:qFormat/>
    <w:rPr/>
  </w:style>
  <w:style w:type="character" w:styleId="AkapitzlistZnak" w:customStyle="1">
    <w:name w:val="Akapit z listą Znak"/>
    <w:uiPriority w:val="34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dokbold" w:customStyle="1">
    <w:name w:val="tekst dok. bold"/>
    <w:qFormat/>
    <w:rsid w:val="007819b0"/>
    <w:rPr>
      <w:b/>
      <w:bCs/>
    </w:rPr>
  </w:style>
  <w:style w:type="character" w:styleId="SubtleEmphasis">
    <w:name w:val="Subtle Emphasis"/>
    <w:uiPriority w:val="19"/>
    <w:qFormat/>
    <w:rsid w:val="007819b0"/>
    <w:rPr>
      <w:i/>
      <w:iCs/>
      <w:color w:val="808080"/>
    </w:rPr>
  </w:style>
  <w:style w:type="character" w:styleId="PlaceholderText">
    <w:name w:val="Placeholder Text"/>
    <w:basedOn w:val="DefaultParagraphFont"/>
    <w:uiPriority w:val="99"/>
    <w:semiHidden/>
    <w:qFormat/>
    <w:rsid w:val="00f87b0a"/>
    <w:rPr>
      <w:color w:val="808080"/>
    </w:rPr>
  </w:style>
  <w:style w:type="character" w:styleId="Nierozpoznanawzmianka1" w:customStyle="1">
    <w:name w:val="Nierozpoznana wzmianka1"/>
    <w:basedOn w:val="DefaultParagraphFont"/>
    <w:uiPriority w:val="99"/>
    <w:semiHidden/>
    <w:unhideWhenUsed/>
    <w:qFormat/>
    <w:rsid w:val="00f15318"/>
    <w:rPr>
      <w:color w:val="605E5C"/>
      <w:shd w:fill="E1DFDD" w:val="clear"/>
    </w:rPr>
  </w:style>
  <w:style w:type="character" w:styleId="PUNKTZnak" w:customStyle="1">
    <w:name w:val="PUNKT Znak"/>
    <w:link w:val="PUNKT"/>
    <w:qFormat/>
    <w:rsid w:val="0052487d"/>
    <w:rPr>
      <w:rFonts w:ascii="Times New Roman" w:hAnsi="Times New Roman" w:eastAsia="Times New Roman" w:cs="Times New Roman"/>
      <w:kern w:val="0"/>
      <w:sz w:val="24"/>
      <w:szCs w:val="24"/>
      <w:lang w:val="x-none" w:eastAsia="ar-SA"/>
    </w:rPr>
  </w:style>
  <w:style w:type="character" w:styleId="Highlight" w:customStyle="1">
    <w:name w:val="highlight"/>
    <w:basedOn w:val="DefaultParagraphFont"/>
    <w:qFormat/>
    <w:rsid w:val="005a665a"/>
    <w:rPr/>
  </w:style>
  <w:style w:type="character" w:styleId="Nierozpoznanawzmianka2" w:customStyle="1">
    <w:name w:val="Nierozpoznana wzmianka2"/>
    <w:basedOn w:val="DefaultParagraphFont"/>
    <w:uiPriority w:val="99"/>
    <w:semiHidden/>
    <w:unhideWhenUsed/>
    <w:qFormat/>
    <w:rsid w:val="0011336b"/>
    <w:rPr>
      <w:color w:val="605E5C"/>
      <w:shd w:fill="E1DFDD" w:val="clear"/>
    </w:rPr>
  </w:style>
  <w:style w:type="character" w:styleId="Nierozpoznanawzmianka3" w:customStyle="1">
    <w:name w:val="Nierozpoznana wzmianka3"/>
    <w:basedOn w:val="DefaultParagraphFont"/>
    <w:uiPriority w:val="99"/>
    <w:semiHidden/>
    <w:unhideWhenUsed/>
    <w:qFormat/>
    <w:rsid w:val="003b0127"/>
    <w:rPr>
      <w:color w:val="605E5C"/>
      <w:shd w:fill="E1DFDD" w:val="clear"/>
    </w:rPr>
  </w:style>
  <w:style w:type="character" w:styleId="Nierozpoznanawzmianka4" w:customStyle="1">
    <w:name w:val="Nierozpoznana wzmianka4"/>
    <w:basedOn w:val="DefaultParagraphFont"/>
    <w:uiPriority w:val="99"/>
    <w:semiHidden/>
    <w:unhideWhenUsed/>
    <w:qFormat/>
    <w:rsid w:val="006874e6"/>
    <w:rPr>
      <w:color w:val="605E5C"/>
      <w:shd w:fill="E1DFDD" w:val="clear"/>
    </w:rPr>
  </w:style>
  <w:style w:type="character" w:styleId="Odwiedzoneczeinternetowe" w:customStyle="1">
    <w:name w:val="Odwiedzone łącze internetowe"/>
    <w:basedOn w:val="DefaultParagraphFont"/>
    <w:uiPriority w:val="99"/>
    <w:semiHidden/>
    <w:unhideWhenUsed/>
    <w:rsid w:val="00fa40aa"/>
    <w:rPr>
      <w:color w:val="954F72" w:themeColor="followedHyperlink"/>
      <w:u w:val="single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before="0" w:after="120"/>
    </w:pPr>
    <w:rPr/>
  </w:style>
  <w:style w:type="paragraph" w:styleId="Lista">
    <w:name w:val="List"/>
    <w:basedOn w:val="Standard"/>
    <w:pPr>
      <w:spacing w:lineRule="auto" w:line="240" w:before="0" w:after="0"/>
      <w:ind w:left="283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Standard"/>
    <w:qFormat/>
    <w:pPr>
      <w:suppressLineNumbers/>
    </w:pPr>
    <w:rPr>
      <w:rFonts w:cs="Mangal"/>
    </w:rPr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basedOn w:val="Normal"/>
    <w:next w:val="Tretekstu"/>
    <w:uiPriority w:val="9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Caption">
    <w:name w:val="caption"/>
    <w:basedOn w:val="Standard"/>
    <w:qFormat/>
    <w:pPr>
      <w:spacing w:lineRule="auto" w:line="240" w:before="0" w:after="0"/>
    </w:pPr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paragraph" w:styleId="Nagwek11" w:customStyle="1">
    <w:name w:val="Nagłówek1"/>
    <w:basedOn w:val="Standard"/>
    <w:next w:val="Tretekstu"/>
    <w:qFormat/>
    <w:pPr>
      <w:suppressLineNumbers/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Times New Roman" w:hAnsi="Times New Roman" w:eastAsia="Times New Roman" w:cs="Times New Roman"/>
      <w:b/>
      <w:sz w:val="144"/>
      <w:szCs w:val="24"/>
      <w:lang w:eastAsia="pl-PL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SimSun" w:cs="F"/>
      <w:color w:val="auto"/>
      <w:kern w:val="2"/>
      <w:sz w:val="22"/>
      <w:szCs w:val="22"/>
      <w:lang w:val="pl-PL" w:eastAsia="en-US" w:bidi="ar-SA"/>
    </w:rPr>
  </w:style>
  <w:style w:type="paragraph" w:styleId="Textbody" w:customStyle="1">
    <w:name w:val="Text body"/>
    <w:basedOn w:val="Standard"/>
    <w:qFormat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Textbodyindent" w:customStyle="1">
    <w:name w:val="Text body indent"/>
    <w:basedOn w:val="Standard"/>
    <w:qFormat/>
    <w:pPr>
      <w:spacing w:lineRule="auto" w:line="240" w:before="0" w:after="0"/>
      <w:ind w:left="283" w:right="-92" w:hanging="0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BlockText">
    <w:name w:val="Block Text"/>
    <w:basedOn w:val="Standard"/>
    <w:qFormat/>
    <w:pPr>
      <w:spacing w:lineRule="auto" w:line="240" w:before="0" w:after="0"/>
      <w:ind w:left="699" w:right="-15" w:hanging="699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BodyTextIndent3">
    <w:name w:val="Body Text Indent 3"/>
    <w:basedOn w:val="Standard"/>
    <w:qFormat/>
    <w:pPr>
      <w:spacing w:lineRule="auto" w:line="240" w:before="0" w:after="0"/>
      <w:ind w:left="1244" w:hanging="1244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BodyText3">
    <w:name w:val="Body Text 3"/>
    <w:basedOn w:val="Standard"/>
    <w:qFormat/>
    <w:pPr>
      <w:spacing w:lineRule="auto" w:line="240" w:before="0" w:after="0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BodyTextIndent2">
    <w:name w:val="Body Text Indent 2"/>
    <w:basedOn w:val="Standard"/>
    <w:qFormat/>
    <w:pPr>
      <w:spacing w:lineRule="auto" w:line="240" w:before="0" w:after="0"/>
      <w:ind w:firstLine="5"/>
      <w:jc w:val="center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Stopka">
    <w:name w:val="Footer"/>
    <w:basedOn w:val="Standard"/>
    <w:uiPriority w:val="99"/>
    <w:pPr>
      <w:suppressLineNumbers/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MS Sans Serif" w:hAnsi="MS Sans Serif" w:eastAsia="Times New Roman" w:cs="Times New Roman"/>
      <w:sz w:val="20"/>
      <w:szCs w:val="20"/>
      <w:lang w:val="en-US" w:eastAsia="pl-PL"/>
    </w:rPr>
  </w:style>
  <w:style w:type="paragraph" w:styleId="Tekstpodstawowywcity1" w:customStyle="1">
    <w:name w:val="Tekst podstawowy wcięty1"/>
    <w:basedOn w:val="Standard"/>
    <w:qFormat/>
    <w:pPr>
      <w:spacing w:lineRule="auto" w:line="240" w:before="0" w:after="0"/>
      <w:ind w:left="180" w:hanging="0"/>
    </w:pPr>
    <w:rPr>
      <w:rFonts w:ascii="Arial" w:hAnsi="Arial" w:eastAsia="Times New Roman" w:cs="Times New Roman"/>
      <w:sz w:val="20"/>
      <w:szCs w:val="20"/>
      <w:lang w:eastAsia="pl-PL"/>
    </w:rPr>
  </w:style>
  <w:style w:type="paragraph" w:styleId="Tytu">
    <w:name w:val="Title"/>
    <w:basedOn w:val="Standard"/>
    <w:next w:val="Podtytu"/>
    <w:qFormat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bCs/>
      <w:sz w:val="24"/>
      <w:szCs w:val="20"/>
      <w:lang w:eastAsia="pl-PL"/>
    </w:rPr>
  </w:style>
  <w:style w:type="paragraph" w:styleId="Podtytu">
    <w:name w:val="Subtitle"/>
    <w:basedOn w:val="Standard"/>
    <w:next w:val="Textbody"/>
    <w:uiPriority w:val="11"/>
    <w:qFormat/>
    <w:pPr>
      <w:spacing w:lineRule="auto" w:line="240" w:before="0" w:after="0"/>
    </w:pPr>
    <w:rPr>
      <w:rFonts w:ascii="Times New Roman" w:hAnsi="Times New Roman" w:eastAsia="Times New Roman" w:cs="Times New Roman"/>
      <w:b/>
      <w:i/>
      <w:iCs/>
      <w:sz w:val="24"/>
      <w:szCs w:val="20"/>
      <w:lang w:eastAsia="pl-PL"/>
    </w:rPr>
  </w:style>
  <w:style w:type="paragraph" w:styleId="BodyText2">
    <w:name w:val="Body Text 2"/>
    <w:basedOn w:val="Standard"/>
    <w:qFormat/>
    <w:pPr>
      <w:spacing w:lineRule="auto" w:line="240" w:before="0" w:after="0"/>
      <w:ind w:right="-15" w:hanging="0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Tekstpodstawowy1" w:customStyle="1">
    <w:name w:val="Tekst podstawowy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ms Rmn" w:hAnsi="Tms Rmn" w:eastAsia="Times New Roman" w:cs="Times New Roman"/>
      <w:color w:val="000000"/>
      <w:kern w:val="2"/>
      <w:sz w:val="24"/>
      <w:szCs w:val="20"/>
      <w:lang w:val="en-US" w:eastAsia="pl-PL" w:bidi="ar-SA"/>
    </w:rPr>
  </w:style>
  <w:style w:type="paragraph" w:styleId="BalloonText">
    <w:name w:val="Balloon Text"/>
    <w:basedOn w:val="Standard"/>
    <w:qFormat/>
    <w:pPr>
      <w:spacing w:lineRule="auto" w:line="240" w:before="0" w:after="0"/>
    </w:pPr>
    <w:rPr>
      <w:rFonts w:ascii="Tahoma" w:hAnsi="Tahoma" w:eastAsia="Times New Roman" w:cs="Tahoma"/>
      <w:sz w:val="16"/>
      <w:szCs w:val="16"/>
      <w:lang w:eastAsia="pl-PL"/>
    </w:rPr>
  </w:style>
  <w:style w:type="paragraph" w:styleId="Annotationtext">
    <w:name w:val="annotation text"/>
    <w:basedOn w:val="Standard"/>
    <w:qFormat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Annotationsubject">
    <w:name w:val="annotation subject"/>
    <w:basedOn w:val="Annotationtext"/>
    <w:qFormat/>
    <w:pPr/>
    <w:rPr>
      <w:b/>
      <w:bCs/>
    </w:rPr>
  </w:style>
  <w:style w:type="paragraph" w:styleId="ListBullet3">
    <w:name w:val="List Bullet 3"/>
    <w:basedOn w:val="Standard"/>
    <w:qFormat/>
    <w:pPr>
      <w:spacing w:lineRule="auto" w:line="240" w:before="0" w:after="0"/>
      <w:ind w:left="566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Bullet4">
    <w:name w:val="List Bullet 4"/>
    <w:basedOn w:val="Standard"/>
    <w:qFormat/>
    <w:pPr>
      <w:spacing w:lineRule="auto" w:line="240" w:before="0" w:after="0"/>
      <w:ind w:left="849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Bullet5">
    <w:name w:val="List Bullet 5"/>
    <w:basedOn w:val="Standard"/>
    <w:qFormat/>
    <w:pPr>
      <w:spacing w:lineRule="auto" w:line="240" w:before="0" w:after="0"/>
      <w:ind w:left="1132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Number">
    <w:name w:val="List Number"/>
    <w:basedOn w:val="Standard"/>
    <w:qFormat/>
    <w:pPr>
      <w:spacing w:lineRule="auto" w:line="240" w:before="0" w:after="0"/>
      <w:ind w:left="1415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Bullet2">
    <w:name w:val="List Bullet 2"/>
    <w:basedOn w:val="Standard"/>
    <w:qFormat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Continue">
    <w:name w:val="List Continue"/>
    <w:basedOn w:val="Standard"/>
    <w:qFormat/>
    <w:pPr>
      <w:spacing w:lineRule="auto" w:line="240" w:before="0" w:after="120"/>
      <w:ind w:left="283" w:hanging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NormalIndent">
    <w:name w:val="Normal Indent"/>
    <w:basedOn w:val="Standard"/>
    <w:qFormat/>
    <w:pPr>
      <w:spacing w:lineRule="auto" w:line="240" w:before="0" w:after="0"/>
      <w:ind w:left="708" w:hanging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Wcicietrecitekstu">
    <w:name w:val="Body Text Indent"/>
    <w:basedOn w:val="Textbody"/>
    <w:pPr>
      <w:spacing w:before="0" w:after="120"/>
      <w:ind w:firstLine="210"/>
      <w:jc w:val="left"/>
    </w:pPr>
    <w:rPr>
      <w:sz w:val="20"/>
    </w:rPr>
  </w:style>
  <w:style w:type="paragraph" w:styleId="BodyTextFirstIndent2">
    <w:name w:val="Body Text First Indent 2"/>
    <w:basedOn w:val="Textbodyindent"/>
    <w:qFormat/>
    <w:pPr>
      <w:spacing w:before="0" w:after="120"/>
      <w:ind w:left="0" w:right="0" w:firstLine="210"/>
      <w:jc w:val="left"/>
    </w:pPr>
    <w:rPr>
      <w:sz w:val="20"/>
    </w:rPr>
  </w:style>
  <w:style w:type="paragraph" w:styleId="DocumentMap">
    <w:name w:val="Document Map"/>
    <w:basedOn w:val="Standard"/>
    <w:qFormat/>
    <w:pPr>
      <w:shd w:val="clear" w:color="auto" w:fill="000080"/>
      <w:spacing w:lineRule="auto" w:line="240" w:before="0" w:after="0"/>
    </w:pPr>
    <w:rPr>
      <w:rFonts w:ascii="Tahoma" w:hAnsi="Tahoma" w:eastAsia="Times New Roman" w:cs="Tahoma"/>
      <w:sz w:val="20"/>
      <w:szCs w:val="20"/>
      <w:lang w:eastAsia="pl-PL"/>
    </w:rPr>
  </w:style>
  <w:style w:type="paragraph" w:styleId="Przypiskocowy">
    <w:name w:val="Endnote Text"/>
    <w:basedOn w:val="Standard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0"/>
      <w:kern w:val="2"/>
      <w:sz w:val="24"/>
      <w:szCs w:val="24"/>
      <w:lang w:eastAsia="pl-PL" w:val="pl-PL" w:bidi="ar-SA"/>
    </w:rPr>
  </w:style>
  <w:style w:type="paragraph" w:styleId="Znak" w:customStyle="1">
    <w:name w:val="Znak"/>
    <w:basedOn w:val="Normal"/>
    <w:qFormat/>
    <w:rsid w:val="00a74fea"/>
    <w:pPr>
      <w:widowControl/>
      <w:suppressAutoHyphens w:val="false"/>
      <w:spacing w:lineRule="auto" w:line="240" w:before="0" w:after="0"/>
      <w:textAlignment w:val="auto"/>
    </w:pPr>
    <w:rPr>
      <w:rFonts w:ascii="Arial" w:hAnsi="Arial" w:eastAsia="Times New Roman" w:cs="Arial"/>
      <w:kern w:val="0"/>
      <w:sz w:val="24"/>
      <w:szCs w:val="24"/>
      <w:lang w:eastAsia="pl-PL"/>
    </w:rPr>
  </w:style>
  <w:style w:type="paragraph" w:styleId="ListParagraph">
    <w:name w:val="List Paragraph"/>
    <w:basedOn w:val="Standard"/>
    <w:uiPriority w:val="34"/>
    <w:qFormat/>
    <w:pPr>
      <w:spacing w:lineRule="auto" w:line="240" w:before="0" w:after="0"/>
      <w:ind w:left="720" w:hanging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Zawartotabeli" w:customStyle="1">
    <w:name w:val="Zawartość tabeli"/>
    <w:basedOn w:val="Textbody"/>
    <w:qFormat/>
    <w:pPr>
      <w:widowControl w:val="false"/>
      <w:suppressLineNumbers/>
      <w:spacing w:before="0" w:after="120"/>
      <w:jc w:val="left"/>
    </w:pPr>
    <w:rPr>
      <w:rFonts w:eastAsia="Tahoma"/>
    </w:rPr>
  </w:style>
  <w:style w:type="paragraph" w:styleId="NormalWeb">
    <w:name w:val="Normal (Web)"/>
    <w:basedOn w:val="Standard"/>
    <w:uiPriority w:val="99"/>
    <w:qFormat/>
    <w:pPr>
      <w:spacing w:lineRule="auto" w:line="240" w:before="100" w:after="100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PlainText">
    <w:name w:val="Plain Text"/>
    <w:basedOn w:val="Standard"/>
    <w:qFormat/>
    <w:pPr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eastAsia="pl-PL"/>
    </w:rPr>
  </w:style>
  <w:style w:type="paragraph" w:styleId="Zawartoramki" w:customStyle="1">
    <w:name w:val="Zawartość ramki"/>
    <w:basedOn w:val="Textbody"/>
    <w:qFormat/>
    <w:pPr/>
    <w:rPr/>
  </w:style>
  <w:style w:type="paragraph" w:styleId="Przypisdolny">
    <w:name w:val="Footnote Text"/>
    <w:basedOn w:val="Normal"/>
    <w:pPr>
      <w:spacing w:lineRule="auto" w:line="240" w:before="0" w:after="0"/>
    </w:pPr>
    <w:rPr>
      <w:sz w:val="20"/>
      <w:szCs w:val="20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eastAsia="Calibri" w:ascii="Calibri" w:hAnsi="Calibri" w:cs="F"/>
      <w:color w:val="auto"/>
      <w:kern w:val="2"/>
      <w:sz w:val="22"/>
      <w:szCs w:val="22"/>
      <w:lang w:eastAsia="zh-CN" w:val="pl-PL" w:bidi="ar-SA"/>
    </w:rPr>
  </w:style>
  <w:style w:type="paragraph" w:styleId="Zwykytekst1" w:customStyle="1">
    <w:name w:val="Zwykły tekst1"/>
    <w:basedOn w:val="Normal"/>
    <w:qFormat/>
    <w:pPr>
      <w:spacing w:lineRule="auto" w:line="240" w:before="0" w:after="0"/>
      <w:textAlignment w:val="auto"/>
    </w:pPr>
    <w:rPr>
      <w:rFonts w:ascii="Courier New" w:hAnsi="Courier New" w:cs="Mangal"/>
      <w:sz w:val="20"/>
      <w:szCs w:val="24"/>
      <w:lang w:eastAsia="hi-IN" w:bidi="hi-IN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SimSun" w:cs="F"/>
      <w:color w:val="auto"/>
      <w:kern w:val="2"/>
      <w:sz w:val="22"/>
      <w:szCs w:val="22"/>
      <w:lang w:val="pl-PL" w:eastAsia="en-US" w:bidi="ar-SA"/>
    </w:rPr>
  </w:style>
  <w:style w:type="paragraph" w:styleId="Tekstpodstawowy31" w:customStyle="1">
    <w:name w:val="Tekst podstawowy 31"/>
    <w:basedOn w:val="Normal"/>
    <w:qFormat/>
    <w:pPr>
      <w:widowControl/>
      <w:spacing w:lineRule="auto" w:line="240" w:before="0" w:after="0"/>
      <w:jc w:val="both"/>
      <w:textAlignment w:val="auto"/>
    </w:pPr>
    <w:rPr>
      <w:rFonts w:ascii="Times New Roman" w:hAnsi="Times New Roman" w:eastAsia="MS Mincho" w:cs="Calibri"/>
      <w:kern w:val="0"/>
      <w:sz w:val="24"/>
      <w:szCs w:val="20"/>
      <w:lang w:eastAsia="ar-SA"/>
    </w:rPr>
  </w:style>
  <w:style w:type="paragraph" w:styleId="Dtz" w:customStyle="1">
    <w:name w:val="dtz"/>
    <w:basedOn w:val="Normal"/>
    <w:qFormat/>
    <w:rsid w:val="00b3223d"/>
    <w:pPr>
      <w:widowControl/>
      <w:suppressAutoHyphens w:val="false"/>
      <w:spacing w:lineRule="auto" w:line="240" w:beforeAutospacing="1" w:afterAutospacing="1"/>
      <w:textAlignment w:val="auto"/>
    </w:pPr>
    <w:rPr>
      <w:rFonts w:ascii="Times New Roman" w:hAnsi="Times New Roman" w:eastAsia="Times New Roman" w:cs="Times New Roman"/>
      <w:kern w:val="0"/>
      <w:sz w:val="24"/>
      <w:szCs w:val="24"/>
      <w:lang w:eastAsia="pl-PL"/>
    </w:rPr>
  </w:style>
  <w:style w:type="paragraph" w:styleId="Dtu" w:customStyle="1">
    <w:name w:val="dtu"/>
    <w:basedOn w:val="Normal"/>
    <w:qFormat/>
    <w:rsid w:val="00b3223d"/>
    <w:pPr>
      <w:widowControl/>
      <w:suppressAutoHyphens w:val="false"/>
      <w:spacing w:lineRule="auto" w:line="240" w:beforeAutospacing="1" w:afterAutospacing="1"/>
      <w:textAlignment w:val="auto"/>
    </w:pPr>
    <w:rPr>
      <w:rFonts w:ascii="Times New Roman" w:hAnsi="Times New Roman" w:eastAsia="Times New Roman" w:cs="Times New Roman"/>
      <w:kern w:val="0"/>
      <w:sz w:val="24"/>
      <w:szCs w:val="24"/>
      <w:lang w:eastAsia="pl-PL"/>
    </w:rPr>
  </w:style>
  <w:style w:type="paragraph" w:styleId="Pkt" w:customStyle="1">
    <w:name w:val="pkt"/>
    <w:basedOn w:val="Normal"/>
    <w:qFormat/>
    <w:rsid w:val="007819b0"/>
    <w:pPr>
      <w:widowControl/>
      <w:suppressAutoHyphens w:val="false"/>
      <w:spacing w:lineRule="auto" w:line="240" w:before="60" w:after="60"/>
      <w:ind w:left="851" w:hanging="295"/>
      <w:jc w:val="both"/>
      <w:textAlignment w:val="auto"/>
    </w:pPr>
    <w:rPr>
      <w:rFonts w:ascii="Times New Roman" w:hAnsi="Times New Roman" w:eastAsia="Times New Roman" w:cs="Times New Roman"/>
      <w:kern w:val="0"/>
      <w:sz w:val="24"/>
      <w:szCs w:val="24"/>
      <w:lang w:eastAsia="pl-PL"/>
    </w:rPr>
  </w:style>
  <w:style w:type="paragraph" w:styleId="Tekstpodstawowy21" w:customStyle="1">
    <w:name w:val="Tekst podstawowy 21"/>
    <w:basedOn w:val="Normal"/>
    <w:qFormat/>
    <w:rsid w:val="007819b0"/>
    <w:pPr>
      <w:widowControl/>
      <w:spacing w:lineRule="auto" w:line="240" w:before="120" w:after="0"/>
      <w:jc w:val="both"/>
      <w:textAlignment w:val="auto"/>
    </w:pPr>
    <w:rPr>
      <w:rFonts w:ascii="Times New Roman" w:hAnsi="Times New Roman" w:eastAsia="Times New Roman" w:cs="Times New Roman"/>
      <w:b/>
      <w:bCs/>
      <w:kern w:val="0"/>
      <w:sz w:val="25"/>
      <w:szCs w:val="24"/>
      <w:lang w:eastAsia="ar-SA"/>
    </w:rPr>
  </w:style>
  <w:style w:type="paragraph" w:styleId="PUNKT" w:customStyle="1">
    <w:name w:val="PUNKT"/>
    <w:basedOn w:val="Normal"/>
    <w:link w:val="PUNKTZnak"/>
    <w:qFormat/>
    <w:rsid w:val="0052487d"/>
    <w:pPr>
      <w:widowControl/>
      <w:spacing w:lineRule="atLeast" w:line="300" w:before="120" w:after="200"/>
      <w:jc w:val="both"/>
      <w:textAlignment w:val="auto"/>
    </w:pPr>
    <w:rPr>
      <w:rFonts w:ascii="Times New Roman" w:hAnsi="Times New Roman" w:eastAsia="Times New Roman" w:cs="Times New Roman"/>
      <w:kern w:val="0"/>
      <w:sz w:val="24"/>
      <w:szCs w:val="24"/>
      <w:lang w:val="x-none" w:eastAsia="ar-SA"/>
    </w:rPr>
  </w:style>
  <w:style w:type="paragraph" w:styleId="Lista21" w:customStyle="1">
    <w:name w:val="Lista 21"/>
    <w:basedOn w:val="Normal"/>
    <w:qFormat/>
    <w:rsid w:val="003816e1"/>
    <w:pPr>
      <w:widowControl/>
      <w:spacing w:lineRule="auto" w:line="240" w:before="0" w:after="0"/>
      <w:ind w:left="566" w:hanging="283"/>
      <w:textAlignment w:val="auto"/>
    </w:pPr>
    <w:rPr>
      <w:rFonts w:ascii="Times New Roman" w:hAnsi="Times New Roman" w:eastAsia="Times New Roman" w:cs="Times New Roman"/>
      <w:kern w:val="0"/>
      <w:sz w:val="20"/>
      <w:szCs w:val="20"/>
      <w:lang w:eastAsia="ar-SA"/>
    </w:rPr>
  </w:style>
  <w:style w:type="paragraph" w:styleId="Ust" w:customStyle="1">
    <w:name w:val="ust"/>
    <w:qFormat/>
    <w:rsid w:val="00b75545"/>
    <w:pPr>
      <w:widowControl/>
      <w:suppressAutoHyphens w:val="true"/>
      <w:bidi w:val="0"/>
      <w:spacing w:before="60" w:after="60"/>
      <w:ind w:left="426" w:hanging="284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l-PL" w:val="pl-PL" w:bidi="ar-SA"/>
    </w:rPr>
  </w:style>
  <w:style w:type="paragraph" w:styleId="ListBullet">
    <w:name w:val="List Bullet"/>
    <w:basedOn w:val="Normal"/>
    <w:uiPriority w:val="99"/>
    <w:semiHidden/>
    <w:unhideWhenUsed/>
    <w:qFormat/>
    <w:rsid w:val="005544b8"/>
    <w:pPr>
      <w:numPr>
        <w:ilvl w:val="0"/>
        <w:numId w:val="1"/>
      </w:numPr>
      <w:spacing w:before="0" w:after="20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1f44c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F068A-7EE0-40B4-B345-090258633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Application>LibreOffice/7.3.2.2$Windows_X86_64 LibreOffice_project/49f2b1bff42cfccbd8f788c8dc32c1c309559be0</Application>
  <AppVersion>15.0000</AppVersion>
  <Pages>3</Pages>
  <Words>915</Words>
  <Characters>6318</Characters>
  <CharactersWithSpaces>7437</CharactersWithSpaces>
  <Paragraphs>40</Paragraphs>
  <Company>ATC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2026-08-04T06:05:00Z</dcterms:created>
  <dc:creator>Maria MO. Ornatowska</dc:creator>
  <dc:description/>
  <dc:language>pl-PL</dc:language>
  <cp:lastModifiedBy/>
  <cp:lastPrinted>2022-10-17T12:41:00Z</cp:lastPrinted>
  <dcterms:modified xsi:type="dcterms:W3CDTF">2026-08-04T12:52:15Z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