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3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76" w:before="120" w:after="120"/>
        <w:jc w:val="left"/>
        <w:rPr/>
      </w:pPr>
      <w:r>
        <w:rPr/>
      </w:r>
    </w:p>
    <w:p>
      <w:pPr>
        <w:pStyle w:val="Normal"/>
        <w:spacing w:lineRule="auto" w:line="259" w:before="0" w:after="160"/>
        <w:jc w:val="right"/>
        <w:rPr>
          <w:rFonts w:ascii="Aptos Display" w:hAnsi="Aptos Display" w:eastAsia="游ゴシック Light" w:cs="Times New Roman" w:asciiTheme="majorHAnsi" w:cstheme="majorBidi" w:eastAsiaTheme="majorEastAsia" w:hAnsiTheme="majorHAnsi"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sz w:val="22"/>
          <w:szCs w:val="22"/>
          <w:lang w:eastAsia="zh-CN" w:bidi="hi-IN"/>
        </w:rPr>
        <w:t>Załącznik nr 1A do SWZ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sz w:val="22"/>
          <w:szCs w:val="22"/>
          <w:u w:val="single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  <w:u w:val="single"/>
        </w:rPr>
        <w:t>Zamawiający: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Miejskie Przedsiębiorstwo Wodociągów i Kanalizacji Sp. z o. o.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Ul. Cicha 8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26-110 Skarżysko – Kamienna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b/>
          <w:bCs/>
          <w:sz w:val="22"/>
          <w:szCs w:val="22"/>
        </w:rPr>
      </w:r>
    </w:p>
    <w:p>
      <w:pPr>
        <w:pStyle w:val="Normal"/>
        <w:spacing w:lineRule="auto" w:line="259" w:before="0" w:after="160"/>
        <w:rPr>
          <w:rFonts w:ascii="Aptos Display" w:hAnsi="Aptos Display" w:eastAsia="Aptos Display" w:cs="Aptos Display"/>
          <w:sz w:val="22"/>
          <w:szCs w:val="22"/>
        </w:rPr>
      </w:pPr>
      <w:r>
        <w:rPr>
          <w:rFonts w:eastAsia="Aptos Display" w:cs="Aptos Display" w:ascii="Aptos Display" w:hAnsi="Aptos Display"/>
          <w:b/>
          <w:bCs/>
          <w:sz w:val="22"/>
          <w:szCs w:val="22"/>
        </w:rPr>
        <w:t>Znak postępowania: 1/CW/ZP/2026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i/>
          <w:i/>
          <w:iCs/>
          <w:color w:val="000000" w:themeColor="text1"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b/>
          <w:bCs/>
          <w:i/>
          <w:iCs/>
          <w:color w:val="000000" w:themeColor="text1"/>
          <w:sz w:val="22"/>
          <w:szCs w:val="22"/>
        </w:rPr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color w:val="000000"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i/>
          <w:iCs/>
          <w:color w:val="000000"/>
          <w:sz w:val="22"/>
          <w:szCs w:val="22"/>
        </w:rPr>
      </w:r>
    </w:p>
    <w:p>
      <w:pPr>
        <w:pStyle w:val="Normal"/>
        <w:jc w:val="center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 xml:space="preserve">(UWAGA: Niniejszy dokument stanowi treść oferty i nie podlega uzupełnieniu po terminie składania ofert) 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color w:val="000000"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i/>
          <w:iCs/>
          <w:color w:val="000000"/>
          <w:sz w:val="22"/>
          <w:szCs w:val="22"/>
        </w:rPr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color w:val="000000"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i/>
          <w:iCs/>
          <w:color w:val="000000"/>
          <w:sz w:val="22"/>
          <w:szCs w:val="22"/>
        </w:rPr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color w:val="000000"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i/>
          <w:iCs/>
          <w:color w:val="000000"/>
          <w:sz w:val="22"/>
          <w:szCs w:val="22"/>
        </w:rPr>
      </w:r>
    </w:p>
    <w:p>
      <w:pPr>
        <w:pStyle w:val="Normal"/>
        <w:spacing w:before="0" w:after="0"/>
        <w:jc w:val="center"/>
        <w:rPr>
          <w:rFonts w:ascii="Aptos Display" w:hAnsi="Aptos Display" w:eastAsia="游ゴシック Light" w:cs="Times New Roman" w:asciiTheme="majorHAnsi" w:cstheme="majorBidi" w:eastAsiaTheme="majorEastAsia" w:hAnsiTheme="majorHAnsi"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„</w:t>
      </w: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Podniesienie poziomu cyberbezpieczeństwa i budowa odporności na cyberzagrożenia w Miejskim Przedsiębiorstwie Wodociągów i Kanalizacji Spółka z o.o. w Skarżysku – Kamiennej”</w:t>
      </w:r>
    </w:p>
    <w:p>
      <w:pPr>
        <w:pStyle w:val="Normal"/>
        <w:jc w:val="center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b/>
          <w:bCs/>
          <w:sz w:val="22"/>
          <w:szCs w:val="22"/>
        </w:rPr>
      </w:r>
    </w:p>
    <w:p>
      <w:pPr>
        <w:pStyle w:val="Normal"/>
        <w:jc w:val="center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b/>
          <w:bCs/>
          <w:sz w:val="22"/>
          <w:szCs w:val="22"/>
        </w:rPr>
      </w:r>
    </w:p>
    <w:p>
      <w:pPr>
        <w:pStyle w:val="Normal"/>
        <w:widowControl w:val="false"/>
        <w:spacing w:lineRule="auto" w:line="240" w:before="0" w:after="120"/>
        <w:jc w:val="center"/>
        <w:textAlignment w:val="baseline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sz w:val="22"/>
          <w:szCs w:val="22"/>
          <w:lang w:eastAsia="zh-CN" w:bidi="hi-IN"/>
        </w:rPr>
        <w:t>FORMULARZ ASORTYMENTOWO - CENOWY</w:t>
      </w:r>
    </w:p>
    <w:tbl>
      <w:tblPr>
        <w:tblpPr w:bottomFromText="0" w:horzAnchor="text" w:leftFromText="141" w:rightFromText="141" w:tblpX="0" w:tblpY="1" w:topFromText="0" w:vertAnchor="text"/>
        <w:tblW w:w="1455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64"/>
        <w:gridCol w:w="3166"/>
        <w:gridCol w:w="733"/>
        <w:gridCol w:w="2716"/>
        <w:gridCol w:w="1784"/>
        <w:gridCol w:w="2198"/>
        <w:gridCol w:w="1564"/>
        <w:gridCol w:w="1928"/>
      </w:tblGrid>
      <w:tr>
        <w:trPr>
          <w:tblHeader w:val="true"/>
          <w:trHeight w:val="1134" w:hRule="atLeast"/>
          <w:cantSplit w:val="true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Nazwa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textDirection w:val="btLr"/>
            <w:vAlign w:val="center"/>
          </w:tcPr>
          <w:p>
            <w:pPr>
              <w:pStyle w:val="Normal"/>
              <w:widowControl w:val="false"/>
              <w:bidi w:val="1"/>
              <w:spacing w:before="120" w:after="120"/>
              <w:ind w:left="113" w:right="113" w:hanging="0"/>
              <w:jc w:val="center"/>
              <w:rPr>
                <w:b/>
                <w:b/>
              </w:rPr>
            </w:pPr>
            <w:r>
              <w:rPr>
                <w:b/>
                <w:bCs/>
              </w:rPr>
              <w:t>Obszar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Nazwa oferowanego rozwiązania/urządzenia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Liczba sztuk/kpl. /wdrożeń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Kwota netto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Kwota brutto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Kwota łączna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(poz. 5 x poz. 7)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8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Serwer do wdrożenia rozwiązań z zakresu bezpieczeństwa w tym usług HA wraz z systemem serwerowym do zarządzania uprawnieniami i dostępem oraz wirtualizacji i licencjami dostępowymi wraz z instalacją i konfiguracją systemu serwerowego. 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Macierz dyskowa przeznaczona do serwera przeznaczonego do rozwiązań w zakresie cyberbezpieczeństwa dla systemów oraz magazynu zapisu logów i danych z monitorowania i zarządzania. 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(3.2)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Serwer kopii zapasowych przeznaczony do kopii zapasowych wraz z usługą/licencją do duplikacji  - Zakup serwera kopii zapasowych przeznaczonej do kopii zapasowych wraz z usługą/licencją do duplikacji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(3.3)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Oprogramowanie do wykonywania kopii zapasowych w tym deduplikacji - Zakup i wdrożenie oprogramowania do wykonywania kopii zapasowych w tym deduplikacji.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(3.4)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Rozwiązanie NAS do przechowywania kopii zapasowych i testowania - Zakup rozwiązania NAS do przechowywania kopii zapasowych i testowania.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(3.5)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Streamer do wykonywania kopii zapasowych - Zakup Streamera </w:t>
              <w:br/>
              <w:t>i kaset do wykonywania kopii zapasowych.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(3.6)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Oprogramowanie przeciwdziałające wyciekowi danych DLP - </w:t>
            </w:r>
            <w:r>
              <w:rPr/>
              <w:t>Zakup</w:t>
            </w:r>
            <w:r>
              <w:rPr>
                <w:bCs/>
              </w:rPr>
              <w:t xml:space="preserve"> i wdrożenie oprogramowania przeciwdziałające wyciekowi danych DLP.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(3.7)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Oprogramowanie antywirusowe wraz z rozwiązaniem antyspamowym oraz EDR i XDR - </w:t>
            </w:r>
            <w:r>
              <w:rPr/>
              <w:t>Zakup</w:t>
            </w:r>
            <w:r>
              <w:rPr>
                <w:bCs/>
              </w:rPr>
              <w:t xml:space="preserve"> i wdrożenie oprogramowania antywirusowego wraz z rozwiązaniem antyspamowym oraz EDR i XDR.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(3.8)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Rozwiązanie klasy UTM i rozszerzenie obecnego w tryb HA na styku sieci WAN/LAN oraz odnowienie wsparcia - Zakup i wdrożenie rozwiązania klasy UTM i rozszerzenie obecnego w tryb HA na styku sieci WAN/LAN oraz odnowienie wsparcia.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(3.9)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Rozwiązanie klasy UTM dla sieci do zestawienia połączeń VPN i ochrony styku sieci IT - </w:t>
            </w:r>
            <w:r>
              <w:rPr/>
              <w:t>Zakup</w:t>
            </w:r>
            <w:r>
              <w:rPr>
                <w:bCs/>
              </w:rPr>
              <w:t xml:space="preserve"> i wdrożenie rozwiązania klasy UTM dla sieci do zestawienia połączeń VPN i ochrony styku sieci IT.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(3.10)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Zakup i wdrożenie zarządzalnych urządzeń sieciowych umożliwiających segmentację sieci z obsługa VLAN, MACsec, standardu 802.1X.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(3.11)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Zakup kluczy sprzętowych U2F wraz z oprogramowaniem.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(3.12)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Urządzenia Access Point WiFi z obsługą standardu 802.1x oraz WPA3-Enterprise - </w:t>
            </w:r>
            <w:r>
              <w:rPr/>
              <w:t>Zakup</w:t>
            </w:r>
            <w:r>
              <w:rPr>
                <w:bCs/>
              </w:rPr>
              <w:t xml:space="preserve"> urządzeń Acces Point WiFi z obsługą standardu 802.1x oraz WPA3-Enterprise.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(3.13)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Oprogramowanie do zarządzania uprzywilejowanego dostępu PAM/PIM -</w:t>
            </w:r>
            <w:r>
              <w:rPr/>
              <w:t xml:space="preserve"> </w:t>
            </w:r>
            <w:r>
              <w:rPr>
                <w:bCs/>
              </w:rPr>
              <w:t>Zakup i wdrożenie oprogramowania do zarządzania uprzywilejowanego dostępu PAM/PIM.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(3.14)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Stacja robocza przesiadkowa dla systemów IT/OT/ICS wraz z systemem operacyjnym - </w:t>
            </w:r>
            <w:r>
              <w:rPr/>
              <w:t>Zakup</w:t>
            </w:r>
            <w:r>
              <w:rPr>
                <w:bCs/>
              </w:rPr>
              <w:t xml:space="preserve"> stacji roboczej przesiadkowej dla systemów IT/OT/ICS wraz z systemem operacyjnym.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(3.16)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Przemysłowe rozwiązanie klasy UTM/Firewall z funkcją ochrony portów przemysłowych, w tym IPS i DPI, mających rozdzielić i zabezpieczyć OT/ICS/IIoT - </w:t>
            </w:r>
            <w:r>
              <w:rPr/>
              <w:t xml:space="preserve"> </w:t>
            </w:r>
            <w:r>
              <w:rPr>
                <w:bCs/>
              </w:rPr>
              <w:t>Zakup i wdrożenie przemysłowego rozwiązania klasy UTM/Firewall z funkcją ochrony portów przemysłowych, w tym IPS i DPI, mających rozdzielić i zabezpieczyć OT/ICS/IIoT.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OT (4.1)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Szafa RACK dla rozwiązań IT/OT/ICS w  zakresie cyberbezpieczeństwa - Zakup szafy RACK dla rozwiązań IT/OT/ICS w zakresie cyberbezpieczeństwa.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(4.3)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Urządzenia typu UPS do produktów </w:t>
              <w:br/>
              <w:t xml:space="preserve">i rozwiązań z zakresu cyberbezpieczeństwa - </w:t>
            </w:r>
            <w:r>
              <w:rPr/>
              <w:t>Zakup</w:t>
            </w:r>
            <w:r>
              <w:rPr>
                <w:bCs/>
              </w:rPr>
              <w:t xml:space="preserve"> urządzeń typu UPS do produktów </w:t>
              <w:br/>
              <w:t>i rozwiązań z zakresu cyberbezpieczeństwa.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OT</w:t>
              <w:br/>
              <w:t>(4.2)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Wdrożenie rozwiązań open source - oprogramowanie typu NDR, SIEM, SOAR, menadżer logów, zarządzania podatnościami, monitorowania infrastruktury informatycznej, analizy po włamaniowej, ITSM, RADIUS.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(3.15)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Wsparcie w zakresie wdrożenia rozwiązań sieciowych, konfiguracji sieci IT/OT, segmentacji sieci.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(3.17)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ind w:left="360" w:hanging="0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ind w:left="360" w:hanging="0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sz w:val="22"/>
          <w:szCs w:val="22"/>
        </w:rPr>
        <w:t>Łączna cena brutto stanowi kwotę …………... zł (suma pozycji z kolumny nr 8)*</w:t>
      </w:r>
    </w:p>
    <w:p>
      <w:pPr>
        <w:pStyle w:val="Normal"/>
        <w:ind w:left="360" w:hanging="0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b/>
          <w:bCs/>
          <w:sz w:val="22"/>
          <w:szCs w:val="22"/>
        </w:rPr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i/>
          <w:iCs/>
          <w:sz w:val="22"/>
          <w:szCs w:val="22"/>
        </w:rPr>
        <w:t>*łączną kwotę brutto należy przenieść odpowiednio do formularza ofertowego stanowiącego Załącznik nr 1 do SWZ</w:t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i/>
          <w:iCs/>
          <w:sz w:val="22"/>
          <w:szCs w:val="22"/>
        </w:rPr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i/>
          <w:iCs/>
          <w:sz w:val="22"/>
          <w:szCs w:val="22"/>
        </w:rPr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游ゴシック Light" w:cs="Times New Roman" w:asciiTheme="majorHAnsi" w:cstheme="majorBidi" w:eastAsiaTheme="majorEastAsia" w:hAnsiTheme="majorHAnsi"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sz w:val="22"/>
          <w:szCs w:val="22"/>
        </w:rPr>
      </w:r>
    </w:p>
    <w:p>
      <w:pPr>
        <w:pStyle w:val="Normal"/>
        <w:spacing w:before="0" w:after="200"/>
        <w:contextualSpacing/>
        <w:jc w:val="both"/>
        <w:rPr>
          <w:i/>
          <w:i/>
          <w:iCs/>
          <w:sz w:val="20"/>
          <w:szCs w:val="20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C9211E"/>
          <w:sz w:val="22"/>
          <w:szCs w:val="22"/>
        </w:rPr>
        <w:t>Uwaga! Przedmiotowy dokument pod rygorem nieważności należy opatrzeć kwalifikowanym podpisem elektronicznym, podpisem zaufanym lub podpisem osobistym.</w:t>
      </w:r>
    </w:p>
    <w:sectPr>
      <w:headerReference w:type="default" r:id="rId2"/>
      <w:footerReference w:type="default" r:id="rId3"/>
      <w:type w:val="nextPage"/>
      <w:pgSz w:orient="landscape" w:w="16838" w:h="11906"/>
      <w:pgMar w:left="1417" w:right="1417" w:gutter="0" w:header="708" w:top="1909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ylfae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drawing>
        <wp:anchor behindDoc="1" distT="0" distB="0" distL="0" distR="0" simplePos="0" locked="0" layoutInCell="0" allowOverlap="1" relativeHeight="19">
          <wp:simplePos x="0" y="0"/>
          <wp:positionH relativeFrom="margin">
            <wp:posOffset>1004570</wp:posOffset>
          </wp:positionH>
          <wp:positionV relativeFrom="margin">
            <wp:posOffset>5499735</wp:posOffset>
          </wp:positionV>
          <wp:extent cx="6989445" cy="807720"/>
          <wp:effectExtent l="0" t="0" r="0" b="0"/>
          <wp:wrapNone/>
          <wp:docPr id="3" name="Obraz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89445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opka"/>
      <w:rPr/>
    </w:pPr>
    <w:r>
      <w:rPr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1643380</wp:posOffset>
          </wp:positionH>
          <wp:positionV relativeFrom="paragraph">
            <wp:posOffset>-95885</wp:posOffset>
          </wp:positionV>
          <wp:extent cx="4508500" cy="571500"/>
          <wp:effectExtent l="0" t="0" r="0" b="0"/>
          <wp:wrapNone/>
          <wp:docPr id="1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zrzut ekranu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3">
          <wp:simplePos x="0" y="0"/>
          <wp:positionH relativeFrom="column">
            <wp:posOffset>6243955</wp:posOffset>
          </wp:positionH>
          <wp:positionV relativeFrom="paragraph">
            <wp:posOffset>1905</wp:posOffset>
          </wp:positionV>
          <wp:extent cx="779780" cy="473710"/>
          <wp:effectExtent l="0" t="0" r="0" b="0"/>
          <wp:wrapNone/>
          <wp:docPr id="2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Gwka"/>
      <w:rPr/>
    </w:pPr>
    <w:r>
      <w:rPr/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6fad"/>
    <w:pPr>
      <w:widowControl/>
      <w:suppressAutoHyphens w:val="true"/>
      <w:bidi w:val="0"/>
      <w:spacing w:lineRule="auto" w:line="276" w:before="120" w:after="12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18"/>
      <w:szCs w:val="24"/>
      <w:lang w:val="pl-PL" w:eastAsia="en-US" w:bidi="ar-SA"/>
      <w14:ligatures w14:val="standardContextual"/>
    </w:rPr>
  </w:style>
  <w:style w:type="paragraph" w:styleId="Nagwek1">
    <w:name w:val="Heading 1"/>
    <w:basedOn w:val="Normal"/>
    <w:next w:val="Normal"/>
    <w:link w:val="Nagwek1Znak"/>
    <w:uiPriority w:val="9"/>
    <w:qFormat/>
    <w:rsid w:val="006613f1"/>
    <w:pPr>
      <w:keepNext w:val="true"/>
      <w:keepLines/>
      <w:spacing w:before="360" w:after="80"/>
      <w:outlineLvl w:val="0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6613f1"/>
    <w:pPr>
      <w:keepNext w:val="true"/>
      <w:keepLines/>
      <w:spacing w:before="160" w:after="80"/>
      <w:outlineLvl w:val="1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6613f1"/>
    <w:pPr>
      <w:keepNext w:val="true"/>
      <w:keepLines/>
      <w:spacing w:before="160" w:after="80"/>
      <w:outlineLvl w:val="2"/>
    </w:pPr>
    <w:rPr>
      <w:rFonts w:eastAsia="游ゴシック Light" w:cs="Times New Roman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6613f1"/>
    <w:pPr>
      <w:keepNext w:val="true"/>
      <w:keepLines/>
      <w:spacing w:before="80" w:after="40"/>
      <w:outlineLvl w:val="3"/>
    </w:pPr>
    <w:rPr>
      <w:rFonts w:eastAsia="游ゴシック Light" w:cs="Times New Roman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6613f1"/>
    <w:pPr>
      <w:keepNext w:val="true"/>
      <w:keepLines/>
      <w:spacing w:before="80" w:after="40"/>
      <w:outlineLvl w:val="4"/>
    </w:pPr>
    <w:rPr>
      <w:rFonts w:eastAsia="游ゴシック Light" w:cs="Times New Roman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6613f1"/>
    <w:pPr>
      <w:keepNext w:val="true"/>
      <w:keepLines/>
      <w:spacing w:before="40" w:after="0"/>
      <w:outlineLvl w:val="5"/>
    </w:pPr>
    <w:rPr>
      <w:rFonts w:eastAsia="游ゴシック Light" w:cs="Times New Roman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6613f1"/>
    <w:pPr>
      <w:keepNext w:val="true"/>
      <w:keepLines/>
      <w:spacing w:before="40" w:after="0"/>
      <w:outlineLvl w:val="6"/>
    </w:pPr>
    <w:rPr>
      <w:rFonts w:eastAsia="游ゴシック Light" w:cs="Times New Roman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6613f1"/>
    <w:pPr>
      <w:keepNext w:val="true"/>
      <w:keepLines/>
      <w:spacing w:before="120" w:after="0"/>
      <w:outlineLvl w:val="7"/>
    </w:pPr>
    <w:rPr>
      <w:rFonts w:eastAsia="游ゴシック Light" w:cs="Times New Roman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6613f1"/>
    <w:pPr>
      <w:keepNext w:val="true"/>
      <w:keepLines/>
      <w:spacing w:before="120" w:after="0"/>
      <w:outlineLvl w:val="8"/>
    </w:pPr>
    <w:rPr>
      <w:rFonts w:eastAsia="游ゴシック Light" w:cs="Times New Roman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6613f1"/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6613f1"/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uiPriority w:val="10"/>
    <w:qFormat/>
    <w:rsid w:val="006613f1"/>
    <w:rPr>
      <w:rFonts w:ascii="Aptos Display" w:hAnsi="Aptos Display" w:eastAsia="游ゴシック Light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6613f1"/>
    <w:rPr>
      <w:rFonts w:eastAsia="游ゴシック Light" w:cs="Times New Roman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6613f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613f1"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6613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3f1"/>
    <w:rPr>
      <w:b/>
      <w:bCs/>
      <w:smallCaps/>
      <w:color w:val="0F4761" w:themeColor="accent1" w:themeShade="bf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6033f6"/>
    <w:rPr>
      <w:sz w:val="18"/>
    </w:rPr>
  </w:style>
  <w:style w:type="character" w:styleId="StopkaZnak" w:customStyle="1">
    <w:name w:val="Stopka Znak"/>
    <w:basedOn w:val="DefaultParagraphFont"/>
    <w:uiPriority w:val="99"/>
    <w:qFormat/>
    <w:rsid w:val="006033f6"/>
    <w:rPr>
      <w:sz w:val="18"/>
    </w:rPr>
  </w:style>
  <w:style w:type="character" w:styleId="AkapitzlistZnak" w:customStyle="1">
    <w:name w:val="Akapit z listą Znak"/>
    <w:link w:val="ListParagraph"/>
    <w:uiPriority w:val="34"/>
    <w:qFormat/>
    <w:locked/>
    <w:rsid w:val="00027e04"/>
    <w:rPr>
      <w:sz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6033f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</w:rPr>
  </w:style>
  <w:style w:type="paragraph" w:styleId="Tytu">
    <w:name w:val="Title"/>
    <w:basedOn w:val="Normal"/>
    <w:next w:val="Normal"/>
    <w:link w:val="TytuZnak"/>
    <w:uiPriority w:val="10"/>
    <w:qFormat/>
    <w:rsid w:val="006613f1"/>
    <w:pPr>
      <w:spacing w:lineRule="auto" w:line="240" w:before="120" w:after="80"/>
      <w:contextualSpacing/>
    </w:pPr>
    <w:rPr>
      <w:rFonts w:ascii="Aptos Display" w:hAnsi="Aptos Display" w:eastAsia="游ゴシック Light" w:cs="Times New Roman" w:asciiTheme="majorHAnsi" w:cstheme="majorBidi" w:eastAsiaTheme="majorEastAsia" w:hAnsiTheme="majorHAnsi"/>
      <w:spacing w:val="-10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rsid w:val="006613f1"/>
    <w:pPr/>
    <w:rPr>
      <w:rFonts w:eastAsia="游ゴシック Light" w:cs="Times New Roman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6613f1"/>
    <w:pPr>
      <w:spacing w:before="160" w:after="12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AkapitzlistZnak"/>
    <w:uiPriority w:val="34"/>
    <w:qFormat/>
    <w:rsid w:val="006613f1"/>
    <w:pPr>
      <w:spacing w:before="120" w:after="12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6613f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Stopka">
    <w:name w:val="Footer"/>
    <w:basedOn w:val="Normal"/>
    <w:link w:val="StopkaZnak"/>
    <w:uiPriority w:val="99"/>
    <w:unhideWhenUsed/>
    <w:rsid w:val="006033f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LibreOffice/7.3.2.2$Windows_X86_64 LibreOffice_project/49f2b1bff42cfccbd8f788c8dc32c1c309559be0</Application>
  <AppVersion>15.0000</AppVersion>
  <Pages>6</Pages>
  <Words>650</Words>
  <Characters>3897</Characters>
  <CharactersWithSpaces>4451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2026-07-13T19:14:00Z</dcterms:created>
  <dc:creator>Mariusz Piskorczyk</dc:creator>
  <dc:description/>
  <dc:language>pl-PL</dc:language>
  <cp:lastModifiedBy/>
  <dcterms:modified xsi:type="dcterms:W3CDTF">2026-07-27T21:22:38Z</dcterms:modified>
  <cp:revision>318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