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Skarżysko - Kamienna, dnia 31.07.2026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bookmarkStart w:id="0" w:name="_Hlk1617367652"/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>1/CW/ZP/2026</w:t>
      </w:r>
      <w:bookmarkEnd w:id="0"/>
    </w:p>
    <w:p>
      <w:pPr>
        <w:pStyle w:val="Normal"/>
        <w:ind w:left="180" w:hanging="0"/>
        <w:jc w:val="center"/>
        <w:rPr>
          <w:rFonts w:ascii="Calibri" w:hAnsi="Calibri" w:cs="Calibri" w:asciiTheme="minorHAnsi" w:cstheme="minorHAnsi" w:hAnsiTheme="minorHAnsi"/>
          <w:b/>
          <w:b/>
          <w:szCs w:val="20"/>
        </w:rPr>
      </w:pPr>
      <w:r>
        <w:rPr>
          <w:rFonts w:cs="Calibri" w:cstheme="minorHAnsi"/>
          <w:b/>
          <w:szCs w:val="20"/>
        </w:rPr>
        <w:t>WYKONAWCY BIORĄCY UDZIAŁ W POSTĘPOWANIU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  <w:t xml:space="preserve">dot. postępowania o udzielenie zamówienia publicznego na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„</w:t>
      </w: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Podniesienie poziomu cyberbezpieczeństwa i budowa odporności na cyberzagrożenia w Miejskim Przedsiębiorstwie Wodociągów i Kanalizacji Spółka z o.o. w Skarżysku – Kamiennej”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WYJAŚNIENIE TREŚCI SWZ NR 1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Zamawiający Miejskie Przedsiębiorstwo Wodociągów i Kanalizacji Sp. z o. o. działając na podstawie art. 284 ust 2 ustawy Prawo zamówień publicznych z dnia 11 września 2019 r. (Dz. U. z 2022, poz. 1710</w:t>
      </w:r>
      <w:r>
        <w:rPr>
          <w:rFonts w:cs="Calibri" w:cstheme="minorHAnsi"/>
          <w:bCs/>
          <w:sz w:val="20"/>
          <w:szCs w:val="20"/>
        </w:rPr>
        <w:t>),</w:t>
      </w:r>
      <w:r>
        <w:rPr>
          <w:rFonts w:cs="Calibri" w:cstheme="minorHAnsi"/>
          <w:sz w:val="20"/>
          <w:szCs w:val="20"/>
        </w:rPr>
        <w:t xml:space="preserve"> udziela wyjaśnień na następujące pytania, zadane do wyżej wymienionego postępowania:</w:t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1.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Pozycja 12 OPZ: klucze sprzętowe U2F/FIDO2 wraz z oprogramowaniem Czy Zamawiający dopuści urządzenia objęte minimum 12-miesięczną gwarancją producenta, przy zachowaniu wszystkich pozostałych wymagań OPZ? W pozycji 12 OPZ Zamawiający wymaga minimum 24-miesięcznej gwarancji producenta na klucze sprzętowe U2F/FIDO2. Na rynku dostępne są urządzenia spełniające wszystkie wymagane parametry techniczne i funkcjonalne, dla których standardowy okres gwarancji producenta wynosi 12 miesięcy. Proponowana zmiana zapisu: „Gwarancja: minimum 12 miesięcy gwarancji producenta.” </w:t>
      </w:r>
    </w:p>
    <w:p>
      <w:pPr>
        <w:pStyle w:val="Normal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1. </w:t>
      </w:r>
    </w:p>
    <w:p>
      <w:pPr>
        <w:pStyle w:val="Normal"/>
        <w:rPr>
          <w:sz w:val="18"/>
          <w:szCs w:val="18"/>
        </w:rPr>
      </w:pPr>
      <w:r>
        <w:rPr>
          <w:color w:val="000000"/>
          <w:sz w:val="18"/>
          <w:szCs w:val="18"/>
        </w:rPr>
        <w:t>Zamawiający przychyla się do wniosku zawartym w pytaniu i dokonuje zmiany zapisu - Pozycja 12 OPZ  w ten sposób, że:</w:t>
      </w:r>
      <w:r>
        <w:rPr>
          <w:color w:val="FF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>Gwarancja: minimum 12 miesięcy gwarancji producenta.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2.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pozycja 5 OPZ: rozwiązanie NAS – porty rozszerzeń Czy Zamawiający dopuści urządzenie posiadające 2 porty rozszerzeń Mini-SAS HD zamiast 2 portów Infiniband, jako rozwiązanie równoważne funkcjonalnie w zakresie rozbudowy urządzenia o dodatkowe półki dyskowe? Na rynku dostępne jest urządzenie NAS spełniające wszystkie pozostałe parametry techniczne i funkcjonalne określone przez Zamawiającego w pozycji 5 OPZ, wyposażone w 2 porty rozszerzeń Mini-SAS HD zamiast 2 portów Infiniband. Porty Mini-SAS HD służą do podłączenia półek rozszerzających i zapewniają funkcjonalność rozbudowy zasobu dyskowego odpowiadającą funkcji wymaganych portów. </w:t>
      </w:r>
    </w:p>
    <w:p>
      <w:pPr>
        <w:pStyle w:val="Normal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2.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Zamawiający dopuszcza </w:t>
      </w:r>
      <w:r>
        <w:rPr>
          <w:color w:val="000000"/>
          <w:sz w:val="18"/>
          <w:szCs w:val="18"/>
        </w:rPr>
        <w:t>również urządzenie posiadające 2 porty rozszerzeń Mini-SAS HD zamiast 2 portów Infiniband, jako rozwiązanie równoważne funkcjonalnie w zakresie rozbudowy urządzenia o dodatkowe półki dyskowe.</w:t>
      </w:r>
    </w:p>
    <w:p>
      <w:pPr>
        <w:pStyle w:val="Normal"/>
        <w:rPr>
          <w:color w:val="2A6099"/>
        </w:rPr>
      </w:pPr>
      <w:r>
        <w:rPr>
          <w:color w:val="2A6099"/>
          <w:sz w:val="18"/>
          <w:szCs w:val="18"/>
        </w:rPr>
        <w:t>Pytanie nr 3.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Pozycja 5 OPZ: rozwiązanie NAS – liczba wolumenów Czy Zamawiający dopuści urządzenie umożliwiające utworzenie do 32 wolumenów, spełniające wszystkie pozostałe wymagane parametry i funkcjonalności? Na rynku dostępne jest urządzenie NAS spełniające wszystkie pozostałe parametry techniczne i funkcjonalne określone przez Zamawiającego w pozycji 5 OPZ, umożliwiające utworzenie do 32 wolumenów zamiast wymaganych 256 wolumenów. Liczba 32 wolumenów jest wystarczająca dla przewidzianego w OPZ zastosowania urządzenia, w szczególności do przechowywania kopii zapasowych i testowania, a ograniczenie to nie wpływa na wydajność, bezpieczeństwo, pojemność ani pozostałe wymagane funkcjonalności rozwiązania. </w:t>
      </w:r>
    </w:p>
    <w:p>
      <w:pPr>
        <w:pStyle w:val="Normal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3.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Zamawiający dopuszcza również urządzenie umożliwiające utworzenie do 32 wolumenów, spełniające wszystkie pozostałe wymagane parametry i funkcjonalności.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color w:val="2A6099"/>
        </w:rPr>
      </w:pPr>
      <w:r>
        <w:rPr>
          <w:color w:val="2A6099"/>
          <w:sz w:val="18"/>
          <w:szCs w:val="18"/>
        </w:rPr>
        <w:t>Pytanie nr 4.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Załącznik nr 2A, pozycja 8: oprogramowanie antywirusowe, antyspamowe oraz EDR i XDR Czy Zamawiający potwierdza, że przez „macierz wspieranych systemów” należy rozumieć dokument producenta w formie tabeli, wykazu lub macierzy kompatybilności, potwierdzający obsługiwane systemy operacyjne i środowiska? W opisie wymaganych przedmiotowych środków dowodowych dla pozycji 8 zawarto sformułowanie: „Dopuszcza się macierz wspieranych systemów”. Sformułowanie to może być rozumiane niejednoznacznie. Prawdopodobnie intencją Zamawiającego było dopuszczenie tabeli lub wykazu kompatybilności wskazujących systemy operacyjne i środowiska wspierane przez oferowane oprogramowanie. W celu uniknięcia wątpliwości prosimy o zmianę zapisu na: „Dopuszcza się tabelę, wykaz lub macierz kompatybilności potwierdzającą wspierane systemy operacyjne i środowiska.” </w:t>
      </w:r>
    </w:p>
    <w:p>
      <w:pPr>
        <w:pStyle w:val="Normal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4. </w:t>
      </w:r>
    </w:p>
    <w:p>
      <w:pPr>
        <w:pStyle w:val="Normal"/>
        <w:jc w:val="both"/>
        <w:rPr/>
      </w:pPr>
      <w:r>
        <w:rPr>
          <w:sz w:val="18"/>
          <w:szCs w:val="18"/>
        </w:rPr>
        <w:t xml:space="preserve">Zamawiający potwierdza , że przez „macierz wspieranych systemów" należy rozumieć dokument producenta w formie tabeli, wykazu lub macierzy kompatybilności, potwierdzający obsługiwane systemy operacyjne i środowiska. </w:t>
      </w:r>
      <w:r>
        <w:rPr>
          <w:sz w:val="18"/>
          <w:szCs w:val="18"/>
        </w:rPr>
        <w:t>Zamawiający dokonuje z</w:t>
      </w:r>
      <w:r>
        <w:rPr>
          <w:sz w:val="18"/>
          <w:szCs w:val="18"/>
        </w:rPr>
        <w:t>mian</w:t>
      </w:r>
      <w:r>
        <w:rPr>
          <w:sz w:val="18"/>
          <w:szCs w:val="18"/>
        </w:rPr>
        <w:t>y</w:t>
      </w:r>
      <w:r>
        <w:rPr>
          <w:sz w:val="18"/>
          <w:szCs w:val="18"/>
        </w:rPr>
        <w:t xml:space="preserve"> zapisu </w:t>
      </w:r>
      <w:r>
        <w:rPr>
          <w:sz w:val="18"/>
          <w:szCs w:val="18"/>
        </w:rPr>
        <w:t>w Załączniku nr 2A, pozycja 8 w ten sposób, że</w:t>
      </w:r>
      <w:r>
        <w:rPr>
          <w:sz w:val="18"/>
          <w:szCs w:val="18"/>
        </w:rPr>
        <w:t>: „Dopuszcza się tabelę, wykaz lub macierz kompatybilności potwierdzającą wspierane systemy operacyjne i środowiska".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color w:val="2A6099"/>
        </w:rPr>
      </w:pPr>
      <w:r>
        <w:rPr>
          <w:color w:val="2A6099"/>
          <w:sz w:val="18"/>
          <w:szCs w:val="18"/>
        </w:rPr>
        <w:t>Pytanie nr 5.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Załącznik nr 2A, pozycja 13: Access Point Wi-Fi z obsługą 802.1X i WPA3-Enterprise Czy Zamawiający potwierdza, że dokument dotyczący licencjonowania systemu zarządzania należy przedłożyć wyłącznie w przypadku, gdy działanie lub zarządzanie oferowanymi punktami dostępowymi wymaga dodatkowej licencji? W opisie wymaganych przedmiotowych środków dowodowych dla pozycji 13 wskazano m.in. „dokument dotyczący licencjonowania systemu zarządzania”. Jednocześnie opis pozycji 13 OPZ dotyczy dostawy punktów dostępowych i nie określa wprost obowiązku dostarczenia odrębnie licencjonowanego systemu zarządzania. Jeżeli Zamawiający nie przewiduje dostawy odrębnie licencjonowanego systemu zarządzania w ramach pozycji 13, prosimy o wykreślenie z Załącznika nr 2A sformułowania: „dokument dotyczący licencjonowania systemu zarządzania”. Wnioskowane wyjaśnienia i zmiany służą usunięciu niejednoznaczności dokumentacji, umożliwieniu zaoferowania rozwiązań równoważnych funkcjonalnie oraz zachowaniu uczciwej konkurencji, bez obniżenia wymaganej funkcjonalności i bezpieczeństwa przedmiotu zamówienia.</w:t>
      </w:r>
    </w:p>
    <w:p>
      <w:pPr>
        <w:pStyle w:val="Normal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5. </w:t>
      </w:r>
    </w:p>
    <w:p>
      <w:pPr>
        <w:pStyle w:val="Normal"/>
        <w:jc w:val="both"/>
        <w:rPr/>
      </w:pPr>
      <w:r>
        <w:rPr>
          <w:sz w:val="18"/>
          <w:szCs w:val="18"/>
        </w:rPr>
        <w:t>Zamawiający wykreśli zapis w załączniku nr 2A dla pozycji 13 sformułowania: „dokument dotyczący licencjonowania systemu zarządzania”.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Niniejszy dokument stanowi integralną część dokumentacji przetargowej!!!!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/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Zamawiający jednocześnie informuje, że na stronie internetowej postępowania załączy zaktualizowane załączniki nr 2 i 2A do SWZ po zmianach w wyniku udzielonych odpowiedzi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Zamawiający informuje również o zmianie SWZ oraz ogłoszeniu o zamówieniu wydłużając termin składania ofert (szczegóły na stronie internetowej postępowania)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/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ms Rm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71213642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3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3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968375</wp:posOffset>
          </wp:positionH>
          <wp:positionV relativeFrom="page">
            <wp:posOffset>297180</wp:posOffset>
          </wp:positionV>
          <wp:extent cx="5602605" cy="375285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31c4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Pr>
      <w:color w:val="0000FF"/>
      <w:u w:val="single"/>
    </w:rPr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 w:customStyle="1">
    <w:name w:val="Endnote Characters"/>
    <w:qFormat/>
    <w:rPr/>
  </w:style>
  <w:style w:type="character" w:styleId="Text1" w:customStyle="1">
    <w:name w:val="text1"/>
    <w:qFormat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Pr/>
  </w:style>
  <w:style w:type="character" w:styleId="Znakinumeracji" w:customStyle="1">
    <w:name w:val="Znaki numeracji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 w:customStyle="1">
    <w:name w:val="Zakotwiczenie przypisu dolnego"/>
    <w:rPr>
      <w:vertAlign w:val="superscript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nakiprzypiswkocowych" w:customStyle="1">
    <w:name w:val="Znaki przypisów końcowych"/>
    <w:qFormat/>
    <w:rPr/>
  </w:style>
  <w:style w:type="character" w:styleId="NagwekZnak1" w:customStyle="1">
    <w:name w:val="Nagłówek Znak1"/>
    <w:basedOn w:val="DefaultParagraphFont"/>
    <w:qFormat/>
    <w:rPr/>
  </w:style>
  <w:style w:type="character" w:styleId="AkapitzlistZnak" w:customStyle="1">
    <w:name w:val="Akapit z listą Znak"/>
    <w:uiPriority w:val="34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 w:customStyle="1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Standard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Nagwek11" w:customStyle="1">
    <w:name w:val="Nagłówek1"/>
    <w:basedOn w:val="Standard"/>
    <w:next w:val="Tretekstu"/>
    <w:qFormat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Caption">
    <w:name w:val="caption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xtbodyindent" w:customStyle="1">
    <w:name w:val="Text body indent"/>
    <w:basedOn w:val="Standard"/>
    <w:qFormat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Gwkaistopka" w:customStyle="1">
    <w:name w:val="Główka i stopka"/>
    <w:basedOn w:val="Normal"/>
    <w:qFormat/>
    <w:pPr/>
    <w:rPr/>
  </w:style>
  <w:style w:type="paragraph" w:styleId="Stopka">
    <w:name w:val="Footer"/>
    <w:basedOn w:val="Standard"/>
    <w:uiPriority w:val="99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Bullet3">
    <w:name w:val="List Bullet 3"/>
    <w:basedOn w:val="Standard"/>
    <w:qFormat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pPr/>
    <w:rPr/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F"/>
      <w:color w:val="auto"/>
      <w:kern w:val="2"/>
      <w:sz w:val="22"/>
      <w:szCs w:val="22"/>
      <w:lang w:val="pl-PL" w:eastAsia="zh-CN" w:bidi="ar-SA"/>
    </w:rPr>
  </w:style>
  <w:style w:type="paragraph" w:styleId="Gwka">
    <w:name w:val="Header"/>
    <w:basedOn w:val="Normal"/>
    <w:uiPriority w:val="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wykytekst1" w:customStyle="1">
    <w:name w:val="Zwykły tekst1"/>
    <w:basedOn w:val="Normal"/>
    <w:qFormat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paragraph" w:styleId="Lista21" w:customStyle="1">
    <w:name w:val="Lista 21"/>
    <w:basedOn w:val="Normal"/>
    <w:qFormat/>
    <w:rsid w:val="003816e1"/>
    <w:pPr>
      <w:widowControl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numPr>
        <w:ilvl w:val="0"/>
        <w:numId w:val="1"/>
      </w:numPr>
      <w:spacing w:before="0" w:after="20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LibreOffice/7.3.2.2$Windows_X86_64 LibreOffice_project/49f2b1bff42cfccbd8f788c8dc32c1c309559be0</Application>
  <AppVersion>15.0000</AppVersion>
  <Pages>3</Pages>
  <Words>775</Words>
  <Characters>5426</Characters>
  <CharactersWithSpaces>6401</CharactersWithSpaces>
  <Paragraphs>31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2026-07-31T07:30:00Z</dcterms:created>
  <dc:creator>Maria MO. Ornatowska</dc:creator>
  <dc:description/>
  <dc:language>pl-PL</dc:language>
  <cp:lastModifiedBy/>
  <cp:lastPrinted>2022-10-17T12:41:00Z</cp:lastPrinted>
  <dcterms:modified xsi:type="dcterms:W3CDTF">2026-07-31T14:57:20Z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