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821" w:rsidRPr="00E12743" w:rsidRDefault="007B4821" w:rsidP="00AB4821">
      <w:pPr>
        <w:spacing w:line="240" w:lineRule="auto"/>
        <w:jc w:val="right"/>
        <w:rPr>
          <w:rFonts w:ascii="Tahoma" w:hAnsi="Tahoma" w:cs="Tahoma"/>
          <w:b/>
          <w:sz w:val="20"/>
          <w:szCs w:val="20"/>
        </w:rPr>
      </w:pPr>
      <w:r w:rsidRPr="00E12743">
        <w:rPr>
          <w:rFonts w:ascii="Tahoma" w:hAnsi="Tahoma" w:cs="Tahoma"/>
          <w:b/>
          <w:sz w:val="20"/>
          <w:szCs w:val="20"/>
        </w:rPr>
        <w:t xml:space="preserve">Załącznik nr </w:t>
      </w:r>
      <w:r w:rsidR="00E52999">
        <w:rPr>
          <w:rFonts w:ascii="Tahoma" w:hAnsi="Tahoma" w:cs="Tahoma"/>
          <w:b/>
          <w:sz w:val="20"/>
          <w:szCs w:val="20"/>
        </w:rPr>
        <w:t>1</w:t>
      </w:r>
      <w:r w:rsidR="007A464C">
        <w:rPr>
          <w:rFonts w:ascii="Tahoma" w:hAnsi="Tahoma" w:cs="Tahoma"/>
          <w:b/>
          <w:sz w:val="20"/>
          <w:szCs w:val="20"/>
        </w:rPr>
        <w:t xml:space="preserve"> do SWZ</w:t>
      </w:r>
    </w:p>
    <w:p w:rsidR="008E7A39" w:rsidRPr="00F455F4" w:rsidRDefault="008E7A39" w:rsidP="00AB4821">
      <w:pPr>
        <w:spacing w:line="240" w:lineRule="auto"/>
        <w:jc w:val="center"/>
        <w:rPr>
          <w:b/>
          <w:sz w:val="24"/>
          <w:szCs w:val="24"/>
        </w:rPr>
      </w:pPr>
    </w:p>
    <w:p w:rsidR="008E7A39" w:rsidRDefault="008E7A39" w:rsidP="00AB4821">
      <w:pPr>
        <w:spacing w:line="240" w:lineRule="auto"/>
        <w:jc w:val="center"/>
        <w:rPr>
          <w:rFonts w:cstheme="minorHAnsi"/>
          <w:b/>
          <w:sz w:val="24"/>
          <w:szCs w:val="24"/>
        </w:rPr>
      </w:pPr>
      <w:r w:rsidRPr="00F455F4">
        <w:rPr>
          <w:rFonts w:cstheme="minorHAnsi"/>
          <w:b/>
          <w:sz w:val="24"/>
          <w:szCs w:val="24"/>
        </w:rPr>
        <w:t>OPIS PRZEDMIOTU ZAMÓWIENIA</w:t>
      </w:r>
    </w:p>
    <w:p w:rsidR="006547C3" w:rsidRPr="00837380" w:rsidRDefault="006547C3" w:rsidP="00AB4821">
      <w:pPr>
        <w:spacing w:line="240" w:lineRule="auto"/>
        <w:jc w:val="center"/>
        <w:rPr>
          <w:rFonts w:cstheme="minorHAnsi"/>
        </w:rPr>
      </w:pPr>
    </w:p>
    <w:p w:rsidR="00837380" w:rsidRPr="007F6EF6" w:rsidRDefault="00837380" w:rsidP="007F6EF6">
      <w:pPr>
        <w:spacing w:after="100"/>
        <w:ind w:firstLine="284"/>
        <w:jc w:val="both"/>
        <w:rPr>
          <w:rFonts w:eastAsia="Times New Roman" w:cstheme="minorHAnsi"/>
        </w:rPr>
      </w:pPr>
      <w:r w:rsidRPr="007F6EF6">
        <w:rPr>
          <w:rFonts w:eastAsia="Times New Roman" w:cstheme="minorHAnsi"/>
        </w:rPr>
        <w:t>Projekt  ulicy Klepackiej w Księżynie.</w:t>
      </w:r>
    </w:p>
    <w:p w:rsidR="00837380" w:rsidRDefault="00837380" w:rsidP="00837380">
      <w:pPr>
        <w:spacing w:after="100"/>
        <w:ind w:left="284"/>
        <w:jc w:val="both"/>
      </w:pPr>
      <w:r>
        <w:rPr>
          <w:rFonts w:eastAsia="Times New Roman" w:cstheme="minorHAnsi"/>
        </w:rPr>
        <w:t xml:space="preserve"> </w:t>
      </w:r>
      <w:r w:rsidRPr="00A5540C">
        <w:rPr>
          <w:rFonts w:eastAsia="Times New Roman" w:cstheme="minorHAnsi"/>
        </w:rPr>
        <w:t>Przedmiotem zamówienia jest wykonanie koncepcji oraz kompletnej dokumentacji projektowo</w:t>
      </w:r>
      <w:r>
        <w:rPr>
          <w:rFonts w:eastAsia="Times New Roman" w:cstheme="minorHAnsi"/>
        </w:rPr>
        <w:t xml:space="preserve">-kosztorysowej </w:t>
      </w:r>
      <w:r w:rsidRPr="00A5540C">
        <w:rPr>
          <w:rFonts w:eastAsia="Times New Roman" w:cstheme="minorHAnsi"/>
        </w:rPr>
        <w:t>budowy ulicy Klepackiej dz. nr 269 i 615 obręb 0022 Gmina Juchnowiec Kościelny na odcinku od skrzyżowania z ulicą Mazowiecką dz. nr. 270/3 do granicy działki nr 88/2 obręb 0021 Gmina Turośl Kościelna.  Projekt powinien przewidzieć utwardzenie nawi</w:t>
      </w:r>
      <w:r>
        <w:rPr>
          <w:rFonts w:eastAsia="Times New Roman" w:cstheme="minorHAnsi"/>
        </w:rPr>
        <w:t xml:space="preserve">erzchni jezdni masą bitumiczną </w:t>
      </w:r>
      <w:r>
        <w:rPr>
          <w:rFonts w:eastAsia="Times New Roman" w:cstheme="minorHAnsi"/>
        </w:rPr>
        <w:br/>
        <w:t xml:space="preserve">o szerokości 5,5 m wraz z </w:t>
      </w:r>
      <w:r w:rsidRPr="00A5540C">
        <w:rPr>
          <w:rFonts w:eastAsia="Times New Roman" w:cstheme="minorHAnsi"/>
        </w:rPr>
        <w:t>wykonanie</w:t>
      </w:r>
      <w:r>
        <w:rPr>
          <w:rFonts w:eastAsia="Times New Roman" w:cstheme="minorHAnsi"/>
        </w:rPr>
        <w:t>m</w:t>
      </w:r>
      <w:r w:rsidRPr="00A5540C">
        <w:rPr>
          <w:rFonts w:eastAsia="Times New Roman" w:cstheme="minorHAnsi"/>
        </w:rPr>
        <w:t xml:space="preserve"> zjazdów,</w:t>
      </w:r>
      <w:r>
        <w:rPr>
          <w:rFonts w:eastAsia="Times New Roman" w:cstheme="minorHAnsi"/>
        </w:rPr>
        <w:t xml:space="preserve"> budową chodnika,</w:t>
      </w:r>
      <w:r w:rsidRPr="00A5540C">
        <w:rPr>
          <w:rFonts w:eastAsia="Times New Roman" w:cstheme="minorHAnsi"/>
        </w:rPr>
        <w:t xml:space="preserve"> miejsc parkingowych w wzdłuż cmentarza, zagospodarowanie wód opadowych oraz budowę oświetlenia ulicznego. Orientacyjna długość odcinka 460 </w:t>
      </w:r>
      <w:proofErr w:type="spellStart"/>
      <w:r w:rsidRPr="00A5540C">
        <w:rPr>
          <w:rFonts w:eastAsia="Times New Roman" w:cstheme="minorHAnsi"/>
        </w:rPr>
        <w:t>mb</w:t>
      </w:r>
      <w:proofErr w:type="spellEnd"/>
      <w:r w:rsidRPr="00A5540C">
        <w:rPr>
          <w:rFonts w:eastAsia="Times New Roman" w:cstheme="minorHAnsi"/>
        </w:rPr>
        <w:t>.</w:t>
      </w:r>
      <w:r w:rsidRPr="00A5540C">
        <w:t xml:space="preserve"> </w:t>
      </w:r>
      <w:r w:rsidRPr="00A5540C">
        <w:rPr>
          <w:rFonts w:eastAsia="Times New Roman" w:cstheme="minorHAnsi"/>
        </w:rPr>
        <w:t xml:space="preserve">Szerokość  pasa drogowego </w:t>
      </w:r>
      <w:r>
        <w:rPr>
          <w:rFonts w:eastAsia="Times New Roman" w:cstheme="minorHAnsi"/>
        </w:rPr>
        <w:t xml:space="preserve">wynosi 9m. </w:t>
      </w:r>
      <w:r w:rsidRPr="00A5540C">
        <w:rPr>
          <w:rFonts w:eastAsia="Times New Roman" w:cstheme="minorHAnsi"/>
        </w:rPr>
        <w:t xml:space="preserve">Droga na odcinku </w:t>
      </w:r>
      <w:r>
        <w:rPr>
          <w:rFonts w:eastAsia="Times New Roman" w:cstheme="minorHAnsi"/>
        </w:rPr>
        <w:t xml:space="preserve">od </w:t>
      </w:r>
      <w:r>
        <w:rPr>
          <w:rFonts w:eastAsia="Times New Roman" w:cstheme="minorHAnsi"/>
        </w:rPr>
        <w:br/>
        <w:t>ul. Mazowieckiej do zjazdu</w:t>
      </w:r>
      <w:r w:rsidRPr="00A5540C">
        <w:rPr>
          <w:rFonts w:eastAsia="Times New Roman" w:cstheme="minorHAnsi"/>
        </w:rPr>
        <w:t xml:space="preserve"> </w:t>
      </w:r>
      <w:r>
        <w:rPr>
          <w:rFonts w:eastAsia="Times New Roman" w:cstheme="minorHAnsi"/>
        </w:rPr>
        <w:t xml:space="preserve">na działkę nr 277 </w:t>
      </w:r>
      <w:r w:rsidRPr="00A5540C">
        <w:rPr>
          <w:rFonts w:eastAsia="Times New Roman" w:cstheme="minorHAnsi"/>
        </w:rPr>
        <w:t>posiada nawierzchnię bitumiczną o szerokości 4m.  Na pozostałym odcinku jest drogą gruntową.</w:t>
      </w:r>
      <w:r>
        <w:rPr>
          <w:rFonts w:eastAsia="Times New Roman" w:cstheme="minorHAnsi"/>
        </w:rPr>
        <w:t xml:space="preserve"> </w:t>
      </w:r>
      <w:r w:rsidRPr="00A5540C">
        <w:rPr>
          <w:rFonts w:eastAsia="Times New Roman" w:cstheme="minorHAnsi"/>
        </w:rPr>
        <w:t xml:space="preserve">Odprowadzenie wody odbywa się </w:t>
      </w:r>
      <w:r>
        <w:rPr>
          <w:rFonts w:eastAsia="Times New Roman" w:cstheme="minorHAnsi"/>
        </w:rPr>
        <w:t xml:space="preserve">na części nieutwardzonej </w:t>
      </w:r>
      <w:r w:rsidRPr="00A5540C">
        <w:rPr>
          <w:rFonts w:eastAsia="Times New Roman" w:cstheme="minorHAnsi"/>
        </w:rPr>
        <w:t>powierzchniowo na teren pasa drogowego</w:t>
      </w:r>
      <w:r>
        <w:rPr>
          <w:rFonts w:eastAsia="Times New Roman" w:cstheme="minorHAnsi"/>
        </w:rPr>
        <w:t xml:space="preserve">, w części utwardzonej kanalizacją deszczową do </w:t>
      </w:r>
      <w:r>
        <w:rPr>
          <w:rFonts w:eastAsia="Times New Roman" w:cstheme="minorHAnsi"/>
        </w:rPr>
        <w:br/>
        <w:t>ul. Mazowieckiej.</w:t>
      </w:r>
      <w:r w:rsidRPr="00FB0187">
        <w:t xml:space="preserve"> </w:t>
      </w:r>
      <w:r w:rsidRPr="00837380">
        <w:t>Ponadto przedmiot zamówienia obejmuje inwentaryzację zieleni oraz uzyskanie pozwolenia na wycinkę drzew.</w:t>
      </w:r>
      <w:r>
        <w:t xml:space="preserve"> </w:t>
      </w:r>
      <w:r w:rsidRPr="00FB0187">
        <w:rPr>
          <w:rFonts w:eastAsia="Times New Roman" w:cstheme="minorHAnsi"/>
        </w:rPr>
        <w:t>Planowany obszar inwestycji posiada miejscowy plan zagospodarowania przestrzennego.</w:t>
      </w:r>
      <w:r w:rsidRPr="00837380">
        <w:t xml:space="preserve"> </w:t>
      </w:r>
      <w:r>
        <w:rPr>
          <w:rFonts w:eastAsia="Times New Roman" w:cstheme="minorHAnsi"/>
        </w:rPr>
        <w:t xml:space="preserve">Uchwała: MPZP Nr: IV/30/03 Data uchwalenia: 2003-03-14 </w:t>
      </w:r>
      <w:r w:rsidRPr="00837380">
        <w:rPr>
          <w:rFonts w:eastAsia="Times New Roman" w:cstheme="minorHAnsi"/>
        </w:rPr>
        <w:t xml:space="preserve">Dziennik urzędowy: Dz. Urz. Woj. </w:t>
      </w:r>
      <w:proofErr w:type="spellStart"/>
      <w:r w:rsidRPr="00837380">
        <w:rPr>
          <w:rFonts w:eastAsia="Times New Roman" w:cstheme="minorHAnsi"/>
        </w:rPr>
        <w:t>Podl</w:t>
      </w:r>
      <w:proofErr w:type="spellEnd"/>
      <w:r w:rsidRPr="00837380">
        <w:rPr>
          <w:rFonts w:eastAsia="Times New Roman" w:cstheme="minorHAnsi"/>
        </w:rPr>
        <w:t>. z dnia 21.03.2003 r. Nr 27, poz. 692</w:t>
      </w:r>
      <w:r>
        <w:rPr>
          <w:rFonts w:eastAsia="Times New Roman" w:cstheme="minorHAnsi"/>
        </w:rPr>
        <w:t>, link:</w:t>
      </w:r>
      <w:r w:rsidRPr="00837380">
        <w:t xml:space="preserve"> </w:t>
      </w:r>
    </w:p>
    <w:p w:rsidR="00837380" w:rsidRDefault="007F6EF6" w:rsidP="00837380">
      <w:pPr>
        <w:spacing w:after="100"/>
        <w:ind w:left="284"/>
        <w:jc w:val="both"/>
        <w:rPr>
          <w:rFonts w:eastAsia="Times New Roman" w:cstheme="minorHAnsi"/>
        </w:rPr>
      </w:pPr>
      <w:hyperlink r:id="rId5" w:history="1">
        <w:r w:rsidR="00837380" w:rsidRPr="00A428AE">
          <w:rPr>
            <w:rStyle w:val="Hipercze"/>
            <w:rFonts w:eastAsia="Times New Roman" w:cstheme="minorHAnsi"/>
          </w:rPr>
          <w:t>https://gis.ipodlaskie.pl/doc/juchnowieckoscielny/uchwaly/U_2003_30_IV.pdf</w:t>
        </w:r>
      </w:hyperlink>
    </w:p>
    <w:p w:rsidR="00837380" w:rsidRDefault="00837380" w:rsidP="00837380">
      <w:pPr>
        <w:spacing w:after="100"/>
        <w:ind w:left="284"/>
        <w:jc w:val="both"/>
        <w:rPr>
          <w:rFonts w:eastAsia="Times New Roman" w:cstheme="minorHAnsi"/>
        </w:rPr>
      </w:pPr>
      <w:r>
        <w:rPr>
          <w:rFonts w:eastAsia="Times New Roman" w:cstheme="minorHAnsi"/>
        </w:rPr>
        <w:t xml:space="preserve">oraz Uchwała: MPZP Nr: XXII/289/02 Data uchwalenia: 2002-04-18 </w:t>
      </w:r>
      <w:r w:rsidRPr="00837380">
        <w:rPr>
          <w:rFonts w:eastAsia="Times New Roman" w:cstheme="minorHAnsi"/>
        </w:rPr>
        <w:t xml:space="preserve">Dziennik urzędowy: Dz. Urz. Woj. </w:t>
      </w:r>
      <w:proofErr w:type="spellStart"/>
      <w:r w:rsidRPr="00837380">
        <w:rPr>
          <w:rFonts w:eastAsia="Times New Roman" w:cstheme="minorHAnsi"/>
        </w:rPr>
        <w:t>Podl</w:t>
      </w:r>
      <w:proofErr w:type="spellEnd"/>
      <w:r w:rsidRPr="00837380">
        <w:rPr>
          <w:rFonts w:eastAsia="Times New Roman" w:cstheme="minorHAnsi"/>
        </w:rPr>
        <w:t>. z dnia 31.05.2002 r. Nr 19, poz. 510</w:t>
      </w:r>
      <w:r>
        <w:rPr>
          <w:rFonts w:eastAsia="Times New Roman" w:cstheme="minorHAnsi"/>
        </w:rPr>
        <w:t>, link:</w:t>
      </w:r>
    </w:p>
    <w:p w:rsidR="00837380" w:rsidRDefault="007F6EF6" w:rsidP="00837380">
      <w:pPr>
        <w:spacing w:after="100"/>
        <w:ind w:left="284"/>
        <w:jc w:val="both"/>
        <w:rPr>
          <w:rFonts w:eastAsia="Times New Roman" w:cstheme="minorHAnsi"/>
        </w:rPr>
      </w:pPr>
      <w:hyperlink r:id="rId6" w:history="1">
        <w:r w:rsidR="00837380" w:rsidRPr="00A428AE">
          <w:rPr>
            <w:rStyle w:val="Hipercze"/>
            <w:rFonts w:eastAsia="Times New Roman" w:cstheme="minorHAnsi"/>
          </w:rPr>
          <w:t>https://gis.ipodlaskie.pl/doc/juchnowieckoscielny/uchwaly/U_2002_289_XXXII.pdf</w:t>
        </w:r>
      </w:hyperlink>
    </w:p>
    <w:p w:rsidR="00B0507C" w:rsidRPr="00FA0AFA" w:rsidRDefault="00B0507C" w:rsidP="00FA0AFA">
      <w:pPr>
        <w:autoSpaceDE w:val="0"/>
        <w:autoSpaceDN w:val="0"/>
        <w:adjustRightInd w:val="0"/>
        <w:spacing w:after="0" w:line="240" w:lineRule="auto"/>
        <w:jc w:val="both"/>
        <w:rPr>
          <w:rFonts w:eastAsia="Times New Roman" w:cstheme="minorHAnsi"/>
          <w:bCs/>
          <w:iCs/>
        </w:rPr>
      </w:pPr>
    </w:p>
    <w:p w:rsidR="00AB4821" w:rsidRPr="00F455F4" w:rsidRDefault="00AB4821" w:rsidP="00AB4821">
      <w:pPr>
        <w:autoSpaceDE w:val="0"/>
        <w:autoSpaceDN w:val="0"/>
        <w:adjustRightInd w:val="0"/>
        <w:spacing w:after="0" w:line="240" w:lineRule="auto"/>
        <w:ind w:left="284"/>
        <w:jc w:val="both"/>
        <w:rPr>
          <w:rFonts w:eastAsia="Times New Roman" w:cstheme="minorHAnsi"/>
          <w:bCs/>
          <w:iCs/>
        </w:rPr>
      </w:pPr>
    </w:p>
    <w:p w:rsidR="008E7A39" w:rsidRPr="00A141E2" w:rsidRDefault="00685DC7" w:rsidP="00AB4821">
      <w:pPr>
        <w:pStyle w:val="Akapitzlist"/>
        <w:numPr>
          <w:ilvl w:val="0"/>
          <w:numId w:val="12"/>
        </w:numPr>
        <w:autoSpaceDE w:val="0"/>
        <w:autoSpaceDN w:val="0"/>
        <w:adjustRightInd w:val="0"/>
        <w:spacing w:after="0" w:line="240" w:lineRule="auto"/>
        <w:ind w:left="284" w:hanging="284"/>
        <w:jc w:val="both"/>
        <w:rPr>
          <w:rFonts w:eastAsia="Times New Roman" w:cstheme="minorHAnsi"/>
          <w:bCs/>
          <w:iCs/>
        </w:rPr>
      </w:pPr>
      <w:r w:rsidRPr="00A141E2">
        <w:rPr>
          <w:rFonts w:eastAsia="Times New Roman" w:cstheme="minorHAnsi"/>
          <w:bCs/>
          <w:iCs/>
        </w:rPr>
        <w:t>Projektant</w:t>
      </w:r>
      <w:r w:rsidR="008E7A39" w:rsidRPr="00A141E2">
        <w:rPr>
          <w:rFonts w:eastAsia="Times New Roman" w:cstheme="minorHAnsi"/>
          <w:bCs/>
          <w:iCs/>
        </w:rPr>
        <w:t xml:space="preserve"> powinien uzyskać wszelkie odstępstwa od warunków technicznych zgodnie </w:t>
      </w:r>
      <w:r w:rsidR="008E7A39" w:rsidRPr="00A141E2">
        <w:rPr>
          <w:rFonts w:eastAsia="Times New Roman" w:cstheme="minorHAnsi"/>
          <w:bCs/>
          <w:iCs/>
        </w:rPr>
        <w:br/>
        <w:t>z Rozporządzeniem Ministra Infrastruktury w sprawie przepisów techniczno-budowlanych dotyczących dróg publicz</w:t>
      </w:r>
      <w:r w:rsidR="00180903">
        <w:rPr>
          <w:rFonts w:eastAsia="Times New Roman" w:cstheme="minorHAnsi"/>
          <w:bCs/>
          <w:iCs/>
        </w:rPr>
        <w:t xml:space="preserve">nych z dnia 22 czerwca 2022 r. </w:t>
      </w:r>
      <w:r w:rsidR="008E7A39" w:rsidRPr="00A141E2">
        <w:rPr>
          <w:rFonts w:eastAsia="Times New Roman" w:cstheme="minorHAnsi"/>
          <w:bCs/>
          <w:iCs/>
        </w:rPr>
        <w:t xml:space="preserve">  niezbędne do realizacji przedmiotu zamówienia.</w:t>
      </w:r>
    </w:p>
    <w:p w:rsidR="00F93155" w:rsidRDefault="008E7A39" w:rsidP="00837380">
      <w:pPr>
        <w:autoSpaceDE w:val="0"/>
        <w:autoSpaceDN w:val="0"/>
        <w:adjustRightInd w:val="0"/>
        <w:spacing w:after="0" w:line="240" w:lineRule="auto"/>
        <w:ind w:left="284"/>
        <w:jc w:val="both"/>
        <w:rPr>
          <w:rFonts w:eastAsia="Times New Roman" w:cstheme="minorHAnsi"/>
          <w:bCs/>
          <w:iCs/>
        </w:rPr>
      </w:pPr>
      <w:r w:rsidRPr="00F455F4">
        <w:rPr>
          <w:rFonts w:eastAsia="Times New Roman" w:cstheme="minorHAnsi"/>
          <w:bCs/>
          <w:iCs/>
        </w:rPr>
        <w:t xml:space="preserve">Dokumentacja ma być skoordynowana w zakresie wszystkich branż, powinna uwzględniać m.in.: nawierzchnie drogowe, </w:t>
      </w:r>
      <w:r w:rsidR="00AF405B">
        <w:rPr>
          <w:rFonts w:eastAsia="Times New Roman" w:cstheme="minorHAnsi"/>
          <w:bCs/>
          <w:iCs/>
        </w:rPr>
        <w:t xml:space="preserve">ciąg pieszo-rowerowy, zjazdy, </w:t>
      </w:r>
      <w:r w:rsidR="00A4610E" w:rsidRPr="00A4610E">
        <w:rPr>
          <w:rFonts w:eastAsia="Times New Roman" w:cstheme="minorHAnsi"/>
          <w:bCs/>
          <w:iCs/>
        </w:rPr>
        <w:t xml:space="preserve">rozwiązanie sposobu </w:t>
      </w:r>
      <w:r w:rsidR="004B7D62">
        <w:rPr>
          <w:rFonts w:eastAsia="Times New Roman" w:cstheme="minorHAnsi"/>
          <w:bCs/>
          <w:iCs/>
        </w:rPr>
        <w:t xml:space="preserve">zagospodarowania </w:t>
      </w:r>
      <w:r w:rsidR="00A4610E" w:rsidRPr="00A4610E">
        <w:rPr>
          <w:rFonts w:eastAsia="Times New Roman" w:cstheme="minorHAnsi"/>
          <w:bCs/>
          <w:iCs/>
        </w:rPr>
        <w:t>wód opadowych</w:t>
      </w:r>
      <w:r w:rsidR="00685DC7" w:rsidRPr="00F455F4">
        <w:rPr>
          <w:rFonts w:eastAsia="Times New Roman" w:cstheme="minorHAnsi"/>
          <w:bCs/>
          <w:iCs/>
        </w:rPr>
        <w:t>,</w:t>
      </w:r>
      <w:r w:rsidR="004B7D62" w:rsidRPr="004B7D62">
        <w:t xml:space="preserve"> </w:t>
      </w:r>
      <w:r w:rsidR="004B7D62" w:rsidRPr="004B7D62">
        <w:rPr>
          <w:rFonts w:eastAsia="Times New Roman" w:cstheme="minorHAnsi"/>
          <w:bCs/>
          <w:iCs/>
        </w:rPr>
        <w:t xml:space="preserve">sieć deszczową </w:t>
      </w:r>
      <w:r w:rsidR="004B7D62">
        <w:rPr>
          <w:rFonts w:eastAsia="Times New Roman" w:cstheme="minorHAnsi"/>
          <w:bCs/>
          <w:iCs/>
        </w:rPr>
        <w:t>(jeśli dotyczy),</w:t>
      </w:r>
      <w:r w:rsidR="00685DC7" w:rsidRPr="00F455F4">
        <w:rPr>
          <w:rFonts w:eastAsia="Times New Roman" w:cstheme="minorHAnsi"/>
          <w:bCs/>
          <w:iCs/>
        </w:rPr>
        <w:t xml:space="preserve"> </w:t>
      </w:r>
      <w:r w:rsidR="00945E44">
        <w:rPr>
          <w:rFonts w:eastAsia="Times New Roman" w:cstheme="minorHAnsi"/>
          <w:bCs/>
          <w:iCs/>
        </w:rPr>
        <w:t xml:space="preserve">oświetlenie uliczne, </w:t>
      </w:r>
      <w:r w:rsidR="00AF405B">
        <w:rPr>
          <w:rFonts w:eastAsia="Times New Roman" w:cstheme="minorHAnsi"/>
          <w:bCs/>
          <w:iCs/>
        </w:rPr>
        <w:t>kanał technologiczny,</w:t>
      </w:r>
      <w:r w:rsidR="00AF405B" w:rsidRPr="00AF405B">
        <w:t xml:space="preserve"> </w:t>
      </w:r>
      <w:r w:rsidR="00AF405B" w:rsidRPr="00AF405B">
        <w:rPr>
          <w:rFonts w:eastAsia="Times New Roman" w:cstheme="minorHAnsi"/>
          <w:bCs/>
          <w:iCs/>
        </w:rPr>
        <w:t>usunięcie kolizji z istniejącymi sieciami</w:t>
      </w:r>
      <w:r w:rsidR="00AF405B">
        <w:rPr>
          <w:rFonts w:eastAsia="Times New Roman" w:cstheme="minorHAnsi"/>
          <w:bCs/>
          <w:iCs/>
        </w:rPr>
        <w:t xml:space="preserve"> (jeśli dotyczy), </w:t>
      </w:r>
      <w:r w:rsidRPr="00F455F4">
        <w:rPr>
          <w:rFonts w:eastAsia="Times New Roman" w:cstheme="minorHAnsi"/>
          <w:bCs/>
          <w:iCs/>
        </w:rPr>
        <w:t>stałą organizację ruchu</w:t>
      </w:r>
      <w:r w:rsidRPr="00F455F4">
        <w:rPr>
          <w:rFonts w:eastAsia="Times New Roman" w:cstheme="minorHAnsi"/>
          <w:lang w:eastAsia="pl-PL"/>
        </w:rPr>
        <w:t xml:space="preserve"> </w:t>
      </w:r>
      <w:r w:rsidR="00A4610E">
        <w:rPr>
          <w:rFonts w:eastAsia="Times New Roman" w:cstheme="minorHAnsi"/>
          <w:bCs/>
          <w:iCs/>
        </w:rPr>
        <w:t>i organizację</w:t>
      </w:r>
      <w:r w:rsidR="004B7D62">
        <w:rPr>
          <w:rFonts w:eastAsia="Times New Roman" w:cstheme="minorHAnsi"/>
          <w:bCs/>
          <w:iCs/>
        </w:rPr>
        <w:t xml:space="preserve"> ruchu </w:t>
      </w:r>
      <w:r w:rsidR="00A4610E">
        <w:rPr>
          <w:rFonts w:eastAsia="Times New Roman" w:cstheme="minorHAnsi"/>
          <w:bCs/>
          <w:iCs/>
        </w:rPr>
        <w:t xml:space="preserve"> na czas budowy.</w:t>
      </w:r>
      <w:r w:rsidR="00AF405B">
        <w:rPr>
          <w:rFonts w:eastAsia="Times New Roman" w:cstheme="minorHAnsi"/>
          <w:bCs/>
          <w:iCs/>
        </w:rPr>
        <w:t xml:space="preserve"> </w:t>
      </w:r>
    </w:p>
    <w:p w:rsidR="0091373E" w:rsidRDefault="0091373E" w:rsidP="00AB4821">
      <w:pPr>
        <w:autoSpaceDE w:val="0"/>
        <w:autoSpaceDN w:val="0"/>
        <w:adjustRightInd w:val="0"/>
        <w:spacing w:after="0" w:line="240" w:lineRule="auto"/>
        <w:ind w:left="284"/>
        <w:jc w:val="both"/>
        <w:rPr>
          <w:rFonts w:eastAsia="Times New Roman" w:cstheme="minorHAnsi"/>
          <w:bCs/>
          <w:iCs/>
        </w:rPr>
      </w:pPr>
    </w:p>
    <w:p w:rsidR="00AB4821" w:rsidRDefault="008E7A39" w:rsidP="00AB4821">
      <w:pPr>
        <w:autoSpaceDE w:val="0"/>
        <w:autoSpaceDN w:val="0"/>
        <w:adjustRightInd w:val="0"/>
        <w:spacing w:after="0" w:line="240" w:lineRule="auto"/>
        <w:ind w:left="284"/>
        <w:jc w:val="both"/>
        <w:rPr>
          <w:rFonts w:eastAsia="Times New Roman" w:cstheme="minorHAnsi"/>
          <w:bCs/>
          <w:iCs/>
        </w:rPr>
      </w:pPr>
      <w:r w:rsidRPr="00F455F4">
        <w:rPr>
          <w:rFonts w:eastAsia="Times New Roman" w:cstheme="minorHAnsi"/>
          <w:bCs/>
          <w:iCs/>
        </w:rPr>
        <w:t xml:space="preserve">Dokumentacja ma wyszczególnić czynności i dokumenty jakie Wykonawca robót będzie zobowiązany przekazać Zamawiającemu na etapie poszczególnych protokołów odbiorów technicznych, protokołu końcowego odbioru robót oraz niezbędnych do przekazania obiektów do użytkowania przez </w:t>
      </w:r>
    </w:p>
    <w:p w:rsidR="00AB4821" w:rsidRDefault="00AB4821" w:rsidP="00AB4821">
      <w:pPr>
        <w:autoSpaceDE w:val="0"/>
        <w:autoSpaceDN w:val="0"/>
        <w:adjustRightInd w:val="0"/>
        <w:spacing w:after="0" w:line="240" w:lineRule="auto"/>
        <w:ind w:left="284"/>
        <w:jc w:val="both"/>
        <w:rPr>
          <w:rFonts w:eastAsia="Times New Roman" w:cstheme="minorHAnsi"/>
          <w:bCs/>
          <w:iCs/>
        </w:rPr>
      </w:pPr>
    </w:p>
    <w:p w:rsidR="00685DC7" w:rsidRPr="00F455F4" w:rsidRDefault="00321688" w:rsidP="00AB4821">
      <w:pPr>
        <w:autoSpaceDE w:val="0"/>
        <w:autoSpaceDN w:val="0"/>
        <w:adjustRightInd w:val="0"/>
        <w:spacing w:after="0" w:line="240" w:lineRule="auto"/>
        <w:ind w:left="284"/>
        <w:jc w:val="both"/>
        <w:rPr>
          <w:rFonts w:eastAsia="Times New Roman" w:cstheme="minorHAnsi"/>
          <w:bCs/>
          <w:iCs/>
        </w:rPr>
      </w:pPr>
      <w:r w:rsidRPr="00F455F4">
        <w:rPr>
          <w:rFonts w:eastAsia="Times New Roman" w:cstheme="minorHAnsi"/>
          <w:bCs/>
          <w:iCs/>
        </w:rPr>
        <w:t>Projektant</w:t>
      </w:r>
      <w:r w:rsidR="00685DC7" w:rsidRPr="00F455F4">
        <w:rPr>
          <w:rFonts w:eastAsia="Times New Roman" w:cstheme="minorHAnsi"/>
          <w:bCs/>
          <w:iCs/>
        </w:rPr>
        <w:t xml:space="preserve"> powinien przewidzieć konieczność wykonania drugiego projektu budowlanego lub opracowania materiałów do zgłoszenia np. w przypadku wystąpienia kolizji z sieciami uzbrojenia terenu oraz w przypadku wlotu dróg projektowanych w drogi, które znajdują się na działkach nie stanowiących własności Gminy Juchnowiec Kościelny.</w:t>
      </w:r>
    </w:p>
    <w:p w:rsidR="00AB4821" w:rsidRDefault="00AB4821" w:rsidP="00AB4821">
      <w:pPr>
        <w:autoSpaceDE w:val="0"/>
        <w:autoSpaceDN w:val="0"/>
        <w:adjustRightInd w:val="0"/>
        <w:spacing w:after="0" w:line="240" w:lineRule="auto"/>
        <w:ind w:left="284"/>
        <w:jc w:val="both"/>
        <w:rPr>
          <w:rFonts w:eastAsia="Times New Roman" w:cstheme="minorHAnsi"/>
          <w:bCs/>
          <w:iCs/>
        </w:rPr>
      </w:pPr>
    </w:p>
    <w:p w:rsidR="008E7A39" w:rsidRPr="00F455F4" w:rsidRDefault="008E7A39" w:rsidP="00AB4821">
      <w:pPr>
        <w:autoSpaceDE w:val="0"/>
        <w:autoSpaceDN w:val="0"/>
        <w:adjustRightInd w:val="0"/>
        <w:spacing w:after="0" w:line="240" w:lineRule="auto"/>
        <w:ind w:left="284"/>
        <w:jc w:val="both"/>
        <w:rPr>
          <w:rFonts w:eastAsia="Times New Roman" w:cstheme="minorHAnsi"/>
          <w:bCs/>
          <w:iCs/>
        </w:rPr>
      </w:pPr>
      <w:r w:rsidRPr="00F455F4">
        <w:rPr>
          <w:rFonts w:eastAsia="Times New Roman" w:cstheme="minorHAnsi"/>
          <w:bCs/>
          <w:iCs/>
        </w:rPr>
        <w:t>Projektant przed sporządzeniem projektów budowlan</w:t>
      </w:r>
      <w:r w:rsidR="00E44A5B">
        <w:rPr>
          <w:rFonts w:eastAsia="Times New Roman" w:cstheme="minorHAnsi"/>
          <w:bCs/>
          <w:iCs/>
        </w:rPr>
        <w:t>ych winien przedstawić koncepcję</w:t>
      </w:r>
      <w:r w:rsidRPr="00F455F4">
        <w:rPr>
          <w:rFonts w:eastAsia="Times New Roman" w:cstheme="minorHAnsi"/>
          <w:bCs/>
          <w:iCs/>
        </w:rPr>
        <w:t xml:space="preserve"> budowy </w:t>
      </w:r>
      <w:r w:rsidR="00F93155">
        <w:rPr>
          <w:rFonts w:eastAsia="Times New Roman" w:cstheme="minorHAnsi"/>
          <w:bCs/>
          <w:iCs/>
        </w:rPr>
        <w:br/>
      </w:r>
      <w:r w:rsidRPr="00F455F4">
        <w:rPr>
          <w:rFonts w:eastAsia="Times New Roman" w:cstheme="minorHAnsi"/>
          <w:bCs/>
          <w:iCs/>
        </w:rPr>
        <w:t>i przystąpić do wykonywania projektów budowlanych po ich akceptacji przez Zamawiającego.</w:t>
      </w:r>
      <w:r w:rsidRPr="00F455F4">
        <w:rPr>
          <w:rFonts w:cstheme="minorHAnsi"/>
        </w:rPr>
        <w:t xml:space="preserve"> </w:t>
      </w:r>
      <w:r w:rsidRPr="00F455F4">
        <w:rPr>
          <w:rFonts w:eastAsia="Times New Roman" w:cstheme="minorHAnsi"/>
          <w:bCs/>
          <w:iCs/>
        </w:rPr>
        <w:t xml:space="preserve">Koncepcje projektowe należy sporządzić w wersji kolorystycznej (skala 1:500). Koncepcja powinna przedstawiać zagospodarowanie terenu z propozycją lokalizacji poszczególnych elementów, opis techniczny przedstawiający przyjęte rozwiązania projektowe oraz szacunkowy koszt realizacji inwestycji. Koncepcja musi przewidywać etapowanie inwestycji w trakcie realizacji robót </w:t>
      </w:r>
      <w:r w:rsidRPr="00F455F4">
        <w:rPr>
          <w:rFonts w:eastAsia="Times New Roman" w:cstheme="minorHAnsi"/>
          <w:bCs/>
          <w:iCs/>
        </w:rPr>
        <w:lastRenderedPageBreak/>
        <w:t>budowlany</w:t>
      </w:r>
      <w:r w:rsidR="00E44A5B">
        <w:rPr>
          <w:rFonts w:eastAsia="Times New Roman" w:cstheme="minorHAnsi"/>
          <w:bCs/>
          <w:iCs/>
        </w:rPr>
        <w:t>ch. Koncepcję</w:t>
      </w:r>
      <w:r w:rsidRPr="00F455F4">
        <w:rPr>
          <w:rFonts w:eastAsia="Times New Roman" w:cstheme="minorHAnsi"/>
          <w:bCs/>
          <w:iCs/>
        </w:rPr>
        <w:t xml:space="preserve"> projektowe należy przedstawić Zamawiającemu w wersji drukowanej w ilości 3 egzemplarzy oraz w wersji elektronicznej z zapisem na płycie CD (w formacie .pdf)</w:t>
      </w:r>
    </w:p>
    <w:p w:rsidR="008E7A39" w:rsidRPr="00F455F4" w:rsidRDefault="008E7A39" w:rsidP="00AB4821">
      <w:pPr>
        <w:autoSpaceDE w:val="0"/>
        <w:autoSpaceDN w:val="0"/>
        <w:adjustRightInd w:val="0"/>
        <w:spacing w:after="0" w:line="240" w:lineRule="auto"/>
        <w:ind w:left="284"/>
        <w:jc w:val="both"/>
        <w:rPr>
          <w:rFonts w:eastAsia="Times New Roman" w:cstheme="minorHAnsi"/>
          <w:bCs/>
          <w:iCs/>
        </w:rPr>
      </w:pPr>
      <w:r w:rsidRPr="00F455F4">
        <w:rPr>
          <w:rFonts w:eastAsia="Times New Roman" w:cstheme="minorHAnsi"/>
          <w:bCs/>
          <w:iCs/>
        </w:rPr>
        <w:t>Dokumentację należy opracować w sposób uwzgledniający maksymalne wykorzystanie terenów będących własnością Gminy Juchnowiec Kościelny, ograniczają</w:t>
      </w:r>
      <w:r w:rsidR="00685DC7" w:rsidRPr="00F455F4">
        <w:rPr>
          <w:rFonts w:eastAsia="Times New Roman" w:cstheme="minorHAnsi"/>
          <w:bCs/>
          <w:iCs/>
        </w:rPr>
        <w:t>c do minimum konieczność zajęcia</w:t>
      </w:r>
      <w:r w:rsidRPr="00F455F4">
        <w:rPr>
          <w:rFonts w:eastAsia="Times New Roman" w:cstheme="minorHAnsi"/>
          <w:bCs/>
          <w:iCs/>
        </w:rPr>
        <w:t xml:space="preserve"> terenów przyległych, nie będących własnością Gminy Juchnowiec Kościelny. </w:t>
      </w:r>
    </w:p>
    <w:p w:rsidR="00685DC7" w:rsidRPr="00F455F4" w:rsidRDefault="00685DC7" w:rsidP="00AB4821">
      <w:pPr>
        <w:autoSpaceDE w:val="0"/>
        <w:autoSpaceDN w:val="0"/>
        <w:adjustRightInd w:val="0"/>
        <w:spacing w:after="0" w:line="240" w:lineRule="auto"/>
        <w:ind w:left="284"/>
        <w:jc w:val="both"/>
        <w:rPr>
          <w:rFonts w:eastAsia="Times New Roman" w:cstheme="minorHAnsi"/>
          <w:bCs/>
          <w:iCs/>
        </w:rPr>
      </w:pPr>
      <w:r w:rsidRPr="00F455F4">
        <w:rPr>
          <w:rFonts w:eastAsia="Times New Roman" w:cstheme="minorHAnsi"/>
          <w:bCs/>
          <w:iCs/>
        </w:rPr>
        <w:t>Zakres ilościowy opracowanej dokumentacji projektowo–kosztorysowej musi uwzględniać wskazany</w:t>
      </w:r>
    </w:p>
    <w:p w:rsidR="00685DC7" w:rsidRPr="00F455F4" w:rsidRDefault="00685DC7" w:rsidP="00AB4821">
      <w:pPr>
        <w:autoSpaceDE w:val="0"/>
        <w:autoSpaceDN w:val="0"/>
        <w:adjustRightInd w:val="0"/>
        <w:spacing w:after="0" w:line="240" w:lineRule="auto"/>
        <w:ind w:left="284"/>
        <w:jc w:val="both"/>
        <w:rPr>
          <w:rFonts w:eastAsia="Times New Roman" w:cstheme="minorHAnsi"/>
          <w:bCs/>
          <w:iCs/>
        </w:rPr>
      </w:pPr>
      <w:r w:rsidRPr="00F455F4">
        <w:rPr>
          <w:rFonts w:eastAsia="Times New Roman" w:cstheme="minorHAnsi"/>
          <w:bCs/>
          <w:iCs/>
        </w:rPr>
        <w:t>w SWZ.</w:t>
      </w:r>
    </w:p>
    <w:p w:rsidR="00685DC7" w:rsidRPr="00F455F4" w:rsidRDefault="00685DC7" w:rsidP="00AB4821">
      <w:pPr>
        <w:autoSpaceDE w:val="0"/>
        <w:autoSpaceDN w:val="0"/>
        <w:adjustRightInd w:val="0"/>
        <w:spacing w:after="0" w:line="240" w:lineRule="auto"/>
        <w:ind w:left="284"/>
        <w:jc w:val="both"/>
        <w:rPr>
          <w:rFonts w:eastAsia="Times New Roman" w:cstheme="minorHAnsi"/>
          <w:bCs/>
          <w:iCs/>
        </w:rPr>
      </w:pPr>
      <w:r w:rsidRPr="00F455F4">
        <w:rPr>
          <w:rFonts w:eastAsia="Times New Roman" w:cstheme="minorHAnsi"/>
          <w:bCs/>
          <w:iCs/>
        </w:rPr>
        <w:t>Projektant w ramach udzielonej gwarancji zobowiązuje się do udzielania odpowiedzi i wyjaśnień</w:t>
      </w:r>
    </w:p>
    <w:p w:rsidR="00685DC7" w:rsidRPr="00F455F4" w:rsidRDefault="00685DC7" w:rsidP="00AB4821">
      <w:pPr>
        <w:autoSpaceDE w:val="0"/>
        <w:autoSpaceDN w:val="0"/>
        <w:adjustRightInd w:val="0"/>
        <w:spacing w:after="0" w:line="240" w:lineRule="auto"/>
        <w:ind w:left="284"/>
        <w:jc w:val="both"/>
        <w:rPr>
          <w:rFonts w:eastAsia="Times New Roman" w:cstheme="minorHAnsi"/>
          <w:bCs/>
          <w:iCs/>
        </w:rPr>
      </w:pPr>
      <w:r w:rsidRPr="00F455F4">
        <w:rPr>
          <w:rFonts w:eastAsia="Times New Roman" w:cstheme="minorHAnsi"/>
          <w:bCs/>
          <w:iCs/>
        </w:rPr>
        <w:t xml:space="preserve">w terminie 3 dni roboczych na etapie postępowania o udzielenie zamówienia publicznego na roboty oraz do usunięcia rozbieżności wynikających z pytań dotyczących dokumentacji projektowej. </w:t>
      </w:r>
    </w:p>
    <w:p w:rsidR="00685DC7" w:rsidRPr="00F455F4" w:rsidRDefault="00685DC7" w:rsidP="00AB4821">
      <w:pPr>
        <w:autoSpaceDE w:val="0"/>
        <w:autoSpaceDN w:val="0"/>
        <w:adjustRightInd w:val="0"/>
        <w:spacing w:after="0" w:line="240" w:lineRule="auto"/>
        <w:ind w:left="284"/>
        <w:jc w:val="both"/>
        <w:rPr>
          <w:rFonts w:eastAsia="Times New Roman" w:cstheme="minorHAnsi"/>
          <w:bCs/>
          <w:iCs/>
        </w:rPr>
      </w:pPr>
      <w:r w:rsidRPr="00F455F4">
        <w:rPr>
          <w:rFonts w:eastAsia="Times New Roman" w:cstheme="minorHAnsi"/>
          <w:bCs/>
          <w:iCs/>
        </w:rPr>
        <w:t xml:space="preserve">W przypadku stwierdzenia w czasie realizacji robót, że elementy opracowanej dokumentacji są niezgodne ze stanem faktycznym lub nie dadzą się zrealizować wg tej dokumentacji, wymagany będzie przyjazd Projektanta i dokonanie korekty projektu w ciągu 3 dni od powiadomienia, na koszt Jednostki Projektującej. </w:t>
      </w:r>
    </w:p>
    <w:p w:rsidR="008E7A39" w:rsidRPr="00F455F4" w:rsidRDefault="00685DC7" w:rsidP="00AB4821">
      <w:pPr>
        <w:autoSpaceDE w:val="0"/>
        <w:autoSpaceDN w:val="0"/>
        <w:adjustRightInd w:val="0"/>
        <w:spacing w:after="0" w:line="240" w:lineRule="auto"/>
        <w:ind w:left="284"/>
        <w:jc w:val="both"/>
        <w:rPr>
          <w:rFonts w:eastAsia="Times New Roman" w:cstheme="minorHAnsi"/>
          <w:bCs/>
          <w:iCs/>
        </w:rPr>
      </w:pPr>
      <w:r w:rsidRPr="00F455F4">
        <w:rPr>
          <w:rFonts w:eastAsia="Times New Roman" w:cstheme="minorHAnsi"/>
          <w:bCs/>
          <w:iCs/>
        </w:rPr>
        <w:t xml:space="preserve">W przypadku stwierdzenia w wykonywanym przedmiocie zamówienia naruszenia zapisów ustawy </w:t>
      </w:r>
      <w:proofErr w:type="spellStart"/>
      <w:r w:rsidRPr="00F455F4">
        <w:rPr>
          <w:rFonts w:eastAsia="Times New Roman" w:cstheme="minorHAnsi"/>
          <w:bCs/>
          <w:iCs/>
        </w:rPr>
        <w:t>Pzp</w:t>
      </w:r>
      <w:proofErr w:type="spellEnd"/>
      <w:r w:rsidRPr="00F455F4">
        <w:rPr>
          <w:rFonts w:eastAsia="Times New Roman" w:cstheme="minorHAnsi"/>
          <w:bCs/>
          <w:iCs/>
        </w:rPr>
        <w:t xml:space="preserve"> lub innych wymogów określonych przepisami prawa, normami oraz sztuką budowlaną, Projektant będzie ponosił w tym zakresie odpowiedzialność wobec Zamawiającego i podmiotów trzecich.</w:t>
      </w:r>
    </w:p>
    <w:p w:rsidR="00685DC7" w:rsidRPr="00F455F4" w:rsidRDefault="00685DC7" w:rsidP="00AB4821">
      <w:pPr>
        <w:autoSpaceDE w:val="0"/>
        <w:autoSpaceDN w:val="0"/>
        <w:adjustRightInd w:val="0"/>
        <w:spacing w:after="0" w:line="240" w:lineRule="auto"/>
        <w:ind w:firstLine="709"/>
        <w:jc w:val="both"/>
        <w:rPr>
          <w:rFonts w:eastAsia="Times New Roman" w:cstheme="minorHAnsi"/>
          <w:bCs/>
          <w:iCs/>
        </w:rPr>
      </w:pPr>
    </w:p>
    <w:p w:rsidR="00685DC7" w:rsidRPr="00F455F4" w:rsidRDefault="00685DC7" w:rsidP="00AB4821">
      <w:pPr>
        <w:autoSpaceDE w:val="0"/>
        <w:autoSpaceDN w:val="0"/>
        <w:adjustRightInd w:val="0"/>
        <w:spacing w:after="0" w:line="240" w:lineRule="auto"/>
        <w:ind w:firstLine="709"/>
        <w:jc w:val="both"/>
        <w:rPr>
          <w:rFonts w:eastAsia="Times New Roman" w:cstheme="minorHAnsi"/>
          <w:bCs/>
          <w:iCs/>
        </w:rPr>
      </w:pPr>
    </w:p>
    <w:p w:rsidR="008E7A39" w:rsidRPr="00F455F4" w:rsidRDefault="00321688" w:rsidP="00AB4821">
      <w:pPr>
        <w:autoSpaceDE w:val="0"/>
        <w:autoSpaceDN w:val="0"/>
        <w:adjustRightInd w:val="0"/>
        <w:spacing w:after="0" w:line="240" w:lineRule="auto"/>
        <w:ind w:left="426" w:hanging="426"/>
        <w:jc w:val="both"/>
        <w:rPr>
          <w:rFonts w:eastAsia="Times New Roman" w:cstheme="minorHAnsi"/>
          <w:bCs/>
          <w:iCs/>
        </w:rPr>
      </w:pPr>
      <w:r w:rsidRPr="00F455F4">
        <w:rPr>
          <w:rFonts w:eastAsia="Times New Roman" w:cstheme="minorHAnsi"/>
          <w:bCs/>
          <w:iCs/>
        </w:rPr>
        <w:t>III.</w:t>
      </w:r>
      <w:r w:rsidRPr="00F455F4">
        <w:rPr>
          <w:rFonts w:eastAsia="Times New Roman" w:cstheme="minorHAnsi"/>
          <w:bCs/>
          <w:iCs/>
        </w:rPr>
        <w:tab/>
      </w:r>
      <w:r w:rsidR="008E7A39" w:rsidRPr="00F455F4">
        <w:rPr>
          <w:rFonts w:eastAsia="Times New Roman" w:cstheme="minorHAnsi"/>
          <w:bCs/>
          <w:iCs/>
        </w:rPr>
        <w:t>Usługi związane z pełnieniem nadzoru autorskiego nad realizacją robót budowlanych w ilości max. 10 pobytów (suma dla wszystkich etapów realizacji). Zasady realizacji nadzoru autorskiego:</w:t>
      </w:r>
    </w:p>
    <w:p w:rsidR="008E7A39" w:rsidRPr="00F455F4" w:rsidRDefault="008E7A39" w:rsidP="00AB4821">
      <w:pPr>
        <w:numPr>
          <w:ilvl w:val="0"/>
          <w:numId w:val="2"/>
        </w:numPr>
        <w:autoSpaceDE w:val="0"/>
        <w:autoSpaceDN w:val="0"/>
        <w:adjustRightInd w:val="0"/>
        <w:spacing w:after="0" w:line="240" w:lineRule="auto"/>
        <w:ind w:left="709" w:hanging="425"/>
        <w:jc w:val="both"/>
        <w:rPr>
          <w:rFonts w:eastAsia="Times New Roman" w:cstheme="minorHAnsi"/>
          <w:bCs/>
          <w:iCs/>
        </w:rPr>
      </w:pPr>
      <w:r w:rsidRPr="00F455F4">
        <w:rPr>
          <w:rFonts w:eastAsia="Times New Roman" w:cstheme="minorHAnsi"/>
          <w:bCs/>
          <w:iCs/>
        </w:rPr>
        <w:t>wykonawca dokumentacji projektowej zapewni pełnienie nadzoru autorskiego przez uprawnionych projektantów we wszystkich branżach, zgodnie z wymogami prawa budowlanego;</w:t>
      </w:r>
    </w:p>
    <w:p w:rsidR="008E7A39" w:rsidRPr="00F455F4" w:rsidRDefault="008E7A39" w:rsidP="00AB4821">
      <w:pPr>
        <w:numPr>
          <w:ilvl w:val="0"/>
          <w:numId w:val="2"/>
        </w:numPr>
        <w:autoSpaceDE w:val="0"/>
        <w:autoSpaceDN w:val="0"/>
        <w:adjustRightInd w:val="0"/>
        <w:spacing w:after="0" w:line="240" w:lineRule="auto"/>
        <w:ind w:left="709" w:hanging="425"/>
        <w:jc w:val="both"/>
        <w:rPr>
          <w:rFonts w:eastAsia="Times New Roman" w:cstheme="minorHAnsi"/>
          <w:bCs/>
          <w:iCs/>
        </w:rPr>
      </w:pPr>
      <w:r w:rsidRPr="00F455F4">
        <w:rPr>
          <w:rFonts w:eastAsia="Times New Roman" w:cstheme="minorHAnsi"/>
          <w:bCs/>
          <w:iCs/>
        </w:rPr>
        <w:t>nadzory autorskie będą pełnione przez okres realizacji inwestycji (wszystkich etapów), tzn. od chwili rozpoczęcia budowy do terminu zakończenia i odbioru końcowego oraz uzyskania pozwolenia na użytkowanie lub równoważnego dokumentu, jeżeli będą wymagane, na wezwanie Zamawiającego lub inspektora nadzoru, przy czym wezwanie to powinno być przekazane pisemnie, przesłane faxem, e-mailem lub zgłoszone telefonicznie. Powiadomienie powinno nastąpić z co najmniej jednodniowym wyprzedzeniem;</w:t>
      </w:r>
    </w:p>
    <w:p w:rsidR="008E7A39" w:rsidRPr="00F455F4" w:rsidRDefault="008E7A39" w:rsidP="00AB4821">
      <w:pPr>
        <w:numPr>
          <w:ilvl w:val="0"/>
          <w:numId w:val="2"/>
        </w:numPr>
        <w:autoSpaceDE w:val="0"/>
        <w:autoSpaceDN w:val="0"/>
        <w:adjustRightInd w:val="0"/>
        <w:spacing w:after="0" w:line="240" w:lineRule="auto"/>
        <w:ind w:left="709" w:hanging="425"/>
        <w:jc w:val="both"/>
        <w:rPr>
          <w:rFonts w:eastAsia="Times New Roman" w:cstheme="minorHAnsi"/>
          <w:bCs/>
          <w:iCs/>
        </w:rPr>
      </w:pPr>
      <w:r w:rsidRPr="00F455F4">
        <w:rPr>
          <w:rFonts w:eastAsia="Times New Roman" w:cstheme="minorHAnsi"/>
          <w:bCs/>
          <w:iCs/>
        </w:rPr>
        <w:t>wezwania w ramach reklamacji do dokumentacji projektowej nie będą płatne.</w:t>
      </w:r>
    </w:p>
    <w:p w:rsidR="008E7A39" w:rsidRPr="00F455F4" w:rsidRDefault="008E7A39" w:rsidP="00AB4821">
      <w:pPr>
        <w:widowControl w:val="0"/>
        <w:suppressAutoHyphens/>
        <w:spacing w:after="0" w:line="240" w:lineRule="auto"/>
        <w:ind w:left="284"/>
        <w:rPr>
          <w:rFonts w:eastAsia="Lucida Sans Unicode" w:cstheme="minorHAnsi"/>
          <w:lang w:eastAsia="ar-SA"/>
        </w:rPr>
      </w:pPr>
    </w:p>
    <w:p w:rsidR="008E7A39" w:rsidRPr="00F455F4" w:rsidRDefault="008E7A39" w:rsidP="00AB4821">
      <w:pPr>
        <w:widowControl w:val="0"/>
        <w:suppressAutoHyphens/>
        <w:spacing w:after="0" w:line="240" w:lineRule="auto"/>
        <w:ind w:left="284"/>
        <w:jc w:val="both"/>
        <w:rPr>
          <w:rFonts w:eastAsia="Lucida Sans Unicode" w:cstheme="minorHAnsi"/>
          <w:lang w:eastAsia="ar-SA"/>
        </w:rPr>
      </w:pPr>
      <w:r w:rsidRPr="00F455F4">
        <w:rPr>
          <w:rFonts w:eastAsia="Lucida Sans Unicode" w:cstheme="minorHAnsi"/>
          <w:lang w:eastAsia="ar-SA"/>
        </w:rPr>
        <w:t>Zlecany nadzór autorski obejmuje w szczególności:</w:t>
      </w:r>
    </w:p>
    <w:p w:rsidR="008E7A39" w:rsidRPr="00F455F4" w:rsidRDefault="008E7A39" w:rsidP="00AB4821">
      <w:pPr>
        <w:numPr>
          <w:ilvl w:val="0"/>
          <w:numId w:val="3"/>
        </w:numPr>
        <w:suppressAutoHyphens/>
        <w:spacing w:after="0" w:line="240" w:lineRule="auto"/>
        <w:ind w:left="709" w:hanging="425"/>
        <w:jc w:val="both"/>
        <w:rPr>
          <w:rFonts w:eastAsia="Times New Roman" w:cstheme="minorHAnsi"/>
          <w:lang w:eastAsia="ar-SA"/>
        </w:rPr>
      </w:pPr>
      <w:r w:rsidRPr="00F455F4">
        <w:rPr>
          <w:rFonts w:eastAsia="Times New Roman" w:cstheme="minorHAnsi"/>
          <w:lang w:eastAsia="ar-SA"/>
        </w:rPr>
        <w:t>czuwanie nad zgodnością realizacji inwestycji z dokumentacją projektową w zakresie rozwiązań użytkowych, technicznych i materiałowych;</w:t>
      </w:r>
    </w:p>
    <w:p w:rsidR="008E7A39" w:rsidRPr="00F455F4" w:rsidRDefault="008E7A39" w:rsidP="00AB4821">
      <w:pPr>
        <w:numPr>
          <w:ilvl w:val="0"/>
          <w:numId w:val="3"/>
        </w:numPr>
        <w:suppressAutoHyphens/>
        <w:spacing w:after="0" w:line="240" w:lineRule="auto"/>
        <w:ind w:left="709" w:hanging="425"/>
        <w:jc w:val="both"/>
        <w:rPr>
          <w:rFonts w:eastAsia="Times New Roman" w:cstheme="minorHAnsi"/>
          <w:lang w:eastAsia="ar-SA"/>
        </w:rPr>
      </w:pPr>
      <w:r w:rsidRPr="00F455F4">
        <w:rPr>
          <w:rFonts w:eastAsia="Times New Roman" w:cstheme="minorHAnsi"/>
          <w:lang w:eastAsia="ar-SA"/>
        </w:rPr>
        <w:t>wyjaśnianie wątpliwości dotyczących projektu i zawartych w nim rozwiązań zgłoszonych przez Zamawiającego lub Wykonawcę inwestycji;</w:t>
      </w:r>
    </w:p>
    <w:p w:rsidR="008E7A39" w:rsidRPr="00F455F4" w:rsidRDefault="008E7A39" w:rsidP="00AB4821">
      <w:pPr>
        <w:numPr>
          <w:ilvl w:val="0"/>
          <w:numId w:val="3"/>
        </w:numPr>
        <w:suppressAutoHyphens/>
        <w:spacing w:after="0" w:line="240" w:lineRule="auto"/>
        <w:ind w:left="709" w:hanging="425"/>
        <w:jc w:val="both"/>
        <w:rPr>
          <w:rFonts w:eastAsia="Times New Roman" w:cstheme="minorHAnsi"/>
          <w:lang w:eastAsia="ar-SA"/>
        </w:rPr>
      </w:pPr>
      <w:r w:rsidRPr="00F455F4">
        <w:rPr>
          <w:rFonts w:eastAsia="Times New Roman" w:cstheme="minorHAnsi"/>
          <w:lang w:eastAsia="ar-SA"/>
        </w:rPr>
        <w:t>uzgadnianie z Zamawiającym możliwości wprowadzenia rozwiązań zamiennych w stosunku do przewidzianych w dokumentacji projektowej;</w:t>
      </w:r>
    </w:p>
    <w:p w:rsidR="008E7A39" w:rsidRPr="00F455F4" w:rsidRDefault="008E7A39" w:rsidP="00AB4821">
      <w:pPr>
        <w:numPr>
          <w:ilvl w:val="0"/>
          <w:numId w:val="3"/>
        </w:numPr>
        <w:suppressAutoHyphens/>
        <w:spacing w:after="0" w:line="240" w:lineRule="auto"/>
        <w:ind w:left="709" w:hanging="425"/>
        <w:jc w:val="both"/>
        <w:rPr>
          <w:rFonts w:eastAsia="Times New Roman" w:cstheme="minorHAnsi"/>
          <w:lang w:eastAsia="ar-SA"/>
        </w:rPr>
      </w:pPr>
      <w:r w:rsidRPr="00F455F4">
        <w:rPr>
          <w:rFonts w:eastAsia="Times New Roman" w:cstheme="minorHAnsi"/>
          <w:lang w:eastAsia="ar-SA"/>
        </w:rPr>
        <w:t xml:space="preserve">udział w naradach technicznych – przyjmuje się, że liczba pobytów projektanta </w:t>
      </w:r>
      <w:r w:rsidRPr="00F455F4">
        <w:rPr>
          <w:rFonts w:eastAsia="Times New Roman" w:cstheme="minorHAnsi"/>
          <w:lang w:eastAsia="ar-SA"/>
        </w:rPr>
        <w:br/>
        <w:t>(-ów) na budowie oraz w siedzibie Zamawiającego będzie wynikać z uzasadnionych potrzeb określonych każdorazowo przez Zamawiającego lub występującego w jego imieniu inspektora nadzoru;</w:t>
      </w:r>
    </w:p>
    <w:p w:rsidR="008E7A39" w:rsidRPr="00F455F4" w:rsidRDefault="008E7A39" w:rsidP="00AB4821">
      <w:pPr>
        <w:numPr>
          <w:ilvl w:val="0"/>
          <w:numId w:val="3"/>
        </w:numPr>
        <w:suppressAutoHyphens/>
        <w:spacing w:after="0" w:line="240" w:lineRule="auto"/>
        <w:ind w:left="709" w:hanging="425"/>
        <w:jc w:val="both"/>
        <w:rPr>
          <w:rFonts w:eastAsia="Times New Roman" w:cstheme="minorHAnsi"/>
          <w:lang w:eastAsia="ar-SA"/>
        </w:rPr>
      </w:pPr>
      <w:r w:rsidRPr="00F455F4">
        <w:rPr>
          <w:rFonts w:eastAsia="Times New Roman" w:cstheme="minorHAnsi"/>
          <w:lang w:eastAsia="ar-SA"/>
        </w:rPr>
        <w:t>zapewnienie udziału w naradach technicznych projektantów w branżach wskazanych przez Zamawiającego.</w:t>
      </w:r>
    </w:p>
    <w:p w:rsidR="00AB4821" w:rsidRDefault="00AB4821" w:rsidP="00AB4821">
      <w:pPr>
        <w:widowControl w:val="0"/>
        <w:suppressAutoHyphens/>
        <w:spacing w:after="0" w:line="240" w:lineRule="auto"/>
        <w:ind w:left="284"/>
        <w:jc w:val="both"/>
        <w:rPr>
          <w:rFonts w:eastAsia="Lucida Sans Unicode" w:cstheme="minorHAnsi"/>
          <w:lang w:eastAsia="ar-SA"/>
        </w:rPr>
      </w:pPr>
    </w:p>
    <w:p w:rsidR="008E7A39" w:rsidRPr="00F455F4" w:rsidRDefault="008E7A39" w:rsidP="00AB4821">
      <w:pPr>
        <w:widowControl w:val="0"/>
        <w:suppressAutoHyphens/>
        <w:spacing w:after="0" w:line="240" w:lineRule="auto"/>
        <w:ind w:left="284"/>
        <w:jc w:val="both"/>
        <w:rPr>
          <w:rFonts w:eastAsia="Lucida Sans Unicode" w:cstheme="minorHAnsi"/>
          <w:lang w:eastAsia="ar-SA"/>
        </w:rPr>
      </w:pPr>
      <w:r w:rsidRPr="00F455F4">
        <w:rPr>
          <w:rFonts w:eastAsia="Lucida Sans Unicode" w:cstheme="minorHAnsi"/>
          <w:lang w:eastAsia="ar-SA"/>
        </w:rPr>
        <w:t xml:space="preserve">Nadzór autorski obejmuje także wydawanie przez Wykonawcę, na wniosek Zamawiającego, </w:t>
      </w:r>
      <w:r w:rsidRPr="00F455F4">
        <w:rPr>
          <w:rFonts w:eastAsia="Lucida Sans Unicode" w:cstheme="minorHAnsi"/>
          <w:lang w:eastAsia="ar-SA"/>
        </w:rPr>
        <w:br/>
        <w:t xml:space="preserve">w ciągu 3 dni roboczych, opinii dotyczącej technicznych możliwości, zasadności i zgodności </w:t>
      </w:r>
      <w:r w:rsidRPr="00F455F4">
        <w:rPr>
          <w:rFonts w:eastAsia="Lucida Sans Unicode" w:cstheme="minorHAnsi"/>
          <w:lang w:eastAsia="ar-SA"/>
        </w:rPr>
        <w:br/>
        <w:t xml:space="preserve">z dokumentacją projektową wykonania ewentualnych robót zamiennych i/lub dodatkowych i/lub zmiany (zwiększenia lub zmniejszenia) zakresu rzeczowego robót ujętych w przedmiarach. Wykonawca, na wezwanie Zamawiającego, w terminie </w:t>
      </w:r>
      <w:r w:rsidRPr="00F455F4">
        <w:rPr>
          <w:rFonts w:eastAsia="Lucida Sans Unicode" w:cstheme="minorHAnsi"/>
          <w:b/>
          <w:lang w:eastAsia="ar-SA"/>
        </w:rPr>
        <w:t>do 3 dni roboczych</w:t>
      </w:r>
      <w:r w:rsidRPr="00F455F4">
        <w:rPr>
          <w:rFonts w:eastAsia="Lucida Sans Unicode" w:cstheme="minorHAnsi"/>
          <w:lang w:eastAsia="ar-SA"/>
        </w:rPr>
        <w:t xml:space="preserve"> (lub do 14 dni roboczych </w:t>
      </w:r>
      <w:r w:rsidR="00AB4821">
        <w:rPr>
          <w:rFonts w:eastAsia="Lucida Sans Unicode" w:cstheme="minorHAnsi"/>
          <w:lang w:eastAsia="ar-SA"/>
        </w:rPr>
        <w:br/>
      </w:r>
      <w:r w:rsidRPr="00F455F4">
        <w:rPr>
          <w:rFonts w:eastAsia="Lucida Sans Unicode" w:cstheme="minorHAnsi"/>
          <w:lang w:eastAsia="ar-SA"/>
        </w:rPr>
        <w:t>w przypadku skomplikowanego charakteru robót) przedłoży, dokumentację zamienną lub dodatkową oraz przedmiar robót z robotami ujętymi w tym protokole.</w:t>
      </w:r>
    </w:p>
    <w:p w:rsidR="00CF35CF" w:rsidRPr="00F455F4" w:rsidRDefault="00CF35CF" w:rsidP="00AB4821">
      <w:pPr>
        <w:widowControl w:val="0"/>
        <w:suppressAutoHyphens/>
        <w:spacing w:after="0" w:line="240" w:lineRule="auto"/>
        <w:jc w:val="both"/>
        <w:rPr>
          <w:rFonts w:eastAsia="Lucida Sans Unicode" w:cstheme="minorHAnsi"/>
          <w:lang w:eastAsia="ar-SA"/>
        </w:rPr>
      </w:pPr>
    </w:p>
    <w:p w:rsidR="00CF35CF" w:rsidRDefault="00CF35CF" w:rsidP="00AB4821">
      <w:pPr>
        <w:widowControl w:val="0"/>
        <w:suppressAutoHyphens/>
        <w:spacing w:after="0" w:line="240" w:lineRule="auto"/>
        <w:jc w:val="both"/>
        <w:rPr>
          <w:rFonts w:eastAsia="Lucida Sans Unicode" w:cstheme="minorHAnsi"/>
          <w:lang w:eastAsia="ar-SA"/>
        </w:rPr>
      </w:pPr>
    </w:p>
    <w:p w:rsidR="00AB4821" w:rsidRDefault="00AB4821" w:rsidP="00AB4821">
      <w:pPr>
        <w:widowControl w:val="0"/>
        <w:suppressAutoHyphens/>
        <w:spacing w:after="0" w:line="240" w:lineRule="auto"/>
        <w:jc w:val="both"/>
        <w:rPr>
          <w:rFonts w:eastAsia="Lucida Sans Unicode" w:cstheme="minorHAnsi"/>
          <w:lang w:eastAsia="ar-SA"/>
        </w:rPr>
      </w:pPr>
    </w:p>
    <w:p w:rsidR="00AB4821" w:rsidRPr="00F455F4" w:rsidRDefault="00AB4821" w:rsidP="00AB4821">
      <w:pPr>
        <w:widowControl w:val="0"/>
        <w:suppressAutoHyphens/>
        <w:spacing w:after="0" w:line="240" w:lineRule="auto"/>
        <w:jc w:val="both"/>
        <w:rPr>
          <w:rFonts w:eastAsia="Lucida Sans Unicode" w:cstheme="minorHAnsi"/>
          <w:lang w:eastAsia="ar-SA"/>
        </w:rPr>
      </w:pPr>
    </w:p>
    <w:p w:rsidR="008E7A39" w:rsidRPr="00F455F4" w:rsidRDefault="008E7A39" w:rsidP="00AB4821">
      <w:pPr>
        <w:pStyle w:val="Akapitzlist"/>
        <w:numPr>
          <w:ilvl w:val="0"/>
          <w:numId w:val="13"/>
        </w:numPr>
        <w:spacing w:line="240" w:lineRule="auto"/>
        <w:ind w:left="567" w:hanging="283"/>
        <w:jc w:val="both"/>
        <w:rPr>
          <w:rFonts w:cstheme="minorHAnsi"/>
        </w:rPr>
      </w:pPr>
      <w:r w:rsidRPr="00F455F4">
        <w:rPr>
          <w:rFonts w:cstheme="minorHAnsi"/>
        </w:rPr>
        <w:t>Zamawiający wymaga podczas opracowywania dokumentacji projektowej stosowanie następujących standardów:</w:t>
      </w:r>
    </w:p>
    <w:p w:rsidR="008E7A39" w:rsidRPr="00F455F4" w:rsidRDefault="008E7A39" w:rsidP="00AB4821">
      <w:pPr>
        <w:numPr>
          <w:ilvl w:val="0"/>
          <w:numId w:val="4"/>
        </w:numPr>
        <w:spacing w:line="240" w:lineRule="auto"/>
        <w:ind w:left="426"/>
        <w:jc w:val="both"/>
        <w:rPr>
          <w:rFonts w:cstheme="minorHAnsi"/>
        </w:rPr>
      </w:pPr>
      <w:r w:rsidRPr="00F455F4">
        <w:rPr>
          <w:rFonts w:cstheme="minorHAnsi"/>
        </w:rPr>
        <w:t>dokumentację techniczną ulicy należy uzgodnić ze wszystkimi gestorami mediów, gdyż do specyfikacji dokumentacji przetargowej na opracowanie dokumentacji na budowę lub przebudowę dróg inwestor jest obowiązany załączać warunki techniczne od gestorów sieci;</w:t>
      </w:r>
    </w:p>
    <w:p w:rsidR="008E7A39" w:rsidRPr="00F455F4" w:rsidRDefault="008E7A39" w:rsidP="00AB4821">
      <w:pPr>
        <w:numPr>
          <w:ilvl w:val="0"/>
          <w:numId w:val="4"/>
        </w:numPr>
        <w:spacing w:line="240" w:lineRule="auto"/>
        <w:ind w:left="426"/>
        <w:jc w:val="both"/>
        <w:rPr>
          <w:rFonts w:cstheme="minorHAnsi"/>
        </w:rPr>
      </w:pPr>
      <w:r w:rsidRPr="00F455F4">
        <w:rPr>
          <w:rFonts w:cstheme="minorHAnsi"/>
        </w:rPr>
        <w:t>przed opracowaniem dokumentacji technicznej należy sporządzić pełną dokumentację fotograficzną stanu istniejącego;</w:t>
      </w:r>
    </w:p>
    <w:p w:rsidR="008E7A39" w:rsidRPr="00F455F4" w:rsidRDefault="008E7A39" w:rsidP="00AB4821">
      <w:pPr>
        <w:numPr>
          <w:ilvl w:val="0"/>
          <w:numId w:val="4"/>
        </w:numPr>
        <w:spacing w:line="240" w:lineRule="auto"/>
        <w:ind w:left="426"/>
        <w:jc w:val="both"/>
        <w:rPr>
          <w:rFonts w:cstheme="minorHAnsi"/>
        </w:rPr>
      </w:pPr>
      <w:r w:rsidRPr="00F455F4">
        <w:rPr>
          <w:rFonts w:cstheme="minorHAnsi"/>
        </w:rPr>
        <w:t xml:space="preserve">w przypadku przebudowy bądź rozbudowy ulicy, projektant zobowiązany jest do pisemnego ustalenia  z Zamawiającym sposobu zagospodarowania materiałów z rozbiórki; </w:t>
      </w:r>
    </w:p>
    <w:p w:rsidR="008E7A39" w:rsidRPr="00F455F4" w:rsidRDefault="008E7A39" w:rsidP="00AB4821">
      <w:pPr>
        <w:numPr>
          <w:ilvl w:val="0"/>
          <w:numId w:val="4"/>
        </w:numPr>
        <w:spacing w:line="240" w:lineRule="auto"/>
        <w:ind w:left="426"/>
        <w:jc w:val="both"/>
        <w:rPr>
          <w:rFonts w:cstheme="minorHAnsi"/>
        </w:rPr>
      </w:pPr>
      <w:r w:rsidRPr="00F455F4">
        <w:rPr>
          <w:rFonts w:cstheme="minorHAnsi"/>
        </w:rPr>
        <w:t>koncepcja, projekt budowlany, projekt wykonawczy projektant przedłoży do akceptacji Zamawiającemu zgodnie z harmonogramem dołączonym do umowy;</w:t>
      </w:r>
    </w:p>
    <w:p w:rsidR="008E7A39" w:rsidRPr="00F455F4" w:rsidRDefault="008E7A39" w:rsidP="00AB4821">
      <w:pPr>
        <w:numPr>
          <w:ilvl w:val="0"/>
          <w:numId w:val="4"/>
        </w:numPr>
        <w:spacing w:line="240" w:lineRule="auto"/>
        <w:ind w:left="426"/>
        <w:jc w:val="both"/>
        <w:rPr>
          <w:rFonts w:cstheme="minorHAnsi"/>
        </w:rPr>
      </w:pPr>
      <w:r w:rsidRPr="00F455F4">
        <w:rPr>
          <w:rFonts w:cstheme="minorHAnsi"/>
        </w:rPr>
        <w:t xml:space="preserve"> chodniki i zjazdy należy projektować do granicy pasa drogowego;</w:t>
      </w:r>
    </w:p>
    <w:p w:rsidR="008E7A39" w:rsidRPr="00F455F4" w:rsidRDefault="008E7A39" w:rsidP="00AB4821">
      <w:pPr>
        <w:numPr>
          <w:ilvl w:val="0"/>
          <w:numId w:val="4"/>
        </w:numPr>
        <w:spacing w:line="240" w:lineRule="auto"/>
        <w:ind w:left="426"/>
        <w:jc w:val="both"/>
        <w:rPr>
          <w:rFonts w:cstheme="minorHAnsi"/>
        </w:rPr>
      </w:pPr>
      <w:r w:rsidRPr="00F455F4">
        <w:rPr>
          <w:rFonts w:cstheme="minorHAnsi"/>
        </w:rPr>
        <w:t xml:space="preserve"> dokumentacja projektowa winna zawierać rozwiązania wysokościowe wszystkich zjazdów w dowiązaniu do istniejącego zagospodarowania działki z nowoprojektowaną niweletą drogi;</w:t>
      </w:r>
    </w:p>
    <w:p w:rsidR="008E7A39" w:rsidRPr="00F455F4" w:rsidRDefault="008E7A39" w:rsidP="00AB4821">
      <w:pPr>
        <w:numPr>
          <w:ilvl w:val="0"/>
          <w:numId w:val="4"/>
        </w:numPr>
        <w:spacing w:line="240" w:lineRule="auto"/>
        <w:ind w:left="426"/>
        <w:jc w:val="both"/>
        <w:rPr>
          <w:rFonts w:cstheme="minorHAnsi"/>
        </w:rPr>
      </w:pPr>
      <w:r w:rsidRPr="00F455F4">
        <w:rPr>
          <w:rFonts w:cstheme="minorHAnsi"/>
        </w:rPr>
        <w:t xml:space="preserve"> lokalizacja zjazdów winna zostać uzgodniona z właścicielami posesji i dołączona do dokumentacji  projektowej;</w:t>
      </w:r>
    </w:p>
    <w:p w:rsidR="008E7A39" w:rsidRPr="00F455F4" w:rsidRDefault="00CF35CF" w:rsidP="00AB4821">
      <w:pPr>
        <w:pStyle w:val="Akapitzlist"/>
        <w:numPr>
          <w:ilvl w:val="0"/>
          <w:numId w:val="4"/>
        </w:numPr>
        <w:spacing w:line="240" w:lineRule="auto"/>
        <w:ind w:left="426"/>
        <w:rPr>
          <w:rFonts w:cstheme="minorHAnsi"/>
        </w:rPr>
      </w:pPr>
      <w:r w:rsidRPr="00F455F4">
        <w:rPr>
          <w:rFonts w:cstheme="minorHAnsi"/>
        </w:rPr>
        <w:t>z</w:t>
      </w:r>
      <w:r w:rsidR="008E7A39" w:rsidRPr="00F455F4">
        <w:rPr>
          <w:rFonts w:cstheme="minorHAnsi"/>
        </w:rPr>
        <w:t>jazdy na drogi boczne i skrzyżowania z drogami bocznymi  - konstrukcja jak na drodze głównej.</w:t>
      </w:r>
    </w:p>
    <w:p w:rsidR="008E7A39" w:rsidRPr="00F455F4" w:rsidRDefault="008E7A39" w:rsidP="00AB4821">
      <w:pPr>
        <w:numPr>
          <w:ilvl w:val="0"/>
          <w:numId w:val="4"/>
        </w:numPr>
        <w:spacing w:line="240" w:lineRule="auto"/>
        <w:ind w:left="426"/>
        <w:jc w:val="both"/>
        <w:rPr>
          <w:rFonts w:cstheme="minorHAnsi"/>
        </w:rPr>
      </w:pPr>
      <w:r w:rsidRPr="00F455F4">
        <w:rPr>
          <w:rFonts w:cstheme="minorHAnsi"/>
        </w:rPr>
        <w:t xml:space="preserve"> firma projektowa musi być ubezpieczona od odpowiedzialności cywilnej;</w:t>
      </w:r>
    </w:p>
    <w:p w:rsidR="008E7A39" w:rsidRPr="00F455F4" w:rsidRDefault="008E7A39" w:rsidP="00AB4821">
      <w:pPr>
        <w:numPr>
          <w:ilvl w:val="0"/>
          <w:numId w:val="4"/>
        </w:numPr>
        <w:spacing w:line="240" w:lineRule="auto"/>
        <w:ind w:left="426"/>
        <w:jc w:val="both"/>
        <w:rPr>
          <w:rFonts w:cstheme="minorHAnsi"/>
        </w:rPr>
      </w:pPr>
      <w:r w:rsidRPr="00F455F4">
        <w:rPr>
          <w:rFonts w:cstheme="minorHAnsi"/>
        </w:rPr>
        <w:t xml:space="preserve"> przy czasowej organizacji ruchu na drogach o szczególnym znaczeniu dla ruchu komunikacyjnego danej miejscowości, rozmiar tablic inf</w:t>
      </w:r>
      <w:r w:rsidR="003226C7">
        <w:rPr>
          <w:rFonts w:cstheme="minorHAnsi"/>
        </w:rPr>
        <w:t xml:space="preserve">ormacyjnych musi być określony </w:t>
      </w:r>
      <w:r w:rsidRPr="00F455F4">
        <w:rPr>
          <w:rFonts w:cstheme="minorHAnsi"/>
        </w:rPr>
        <w:t>w projekcie czasowej organizacji ruchu;</w:t>
      </w:r>
    </w:p>
    <w:p w:rsidR="008E7A39" w:rsidRPr="00F455F4" w:rsidRDefault="008E7A39" w:rsidP="00AB4821">
      <w:pPr>
        <w:numPr>
          <w:ilvl w:val="0"/>
          <w:numId w:val="4"/>
        </w:numPr>
        <w:spacing w:line="240" w:lineRule="auto"/>
        <w:ind w:left="426"/>
        <w:jc w:val="both"/>
        <w:rPr>
          <w:rFonts w:cstheme="minorHAnsi"/>
        </w:rPr>
      </w:pPr>
      <w:r w:rsidRPr="00F455F4">
        <w:rPr>
          <w:rFonts w:cstheme="minorHAnsi"/>
        </w:rPr>
        <w:t xml:space="preserve"> należy ujmować wymianę oznakowania pionowego na nowe. Dotychczasowe oznakowanie winno być przekazane Zarządcy Drogi;</w:t>
      </w:r>
    </w:p>
    <w:p w:rsidR="008E7A39" w:rsidRPr="00F455F4" w:rsidRDefault="008E7A39" w:rsidP="00AB4821">
      <w:pPr>
        <w:numPr>
          <w:ilvl w:val="0"/>
          <w:numId w:val="4"/>
        </w:numPr>
        <w:spacing w:line="240" w:lineRule="auto"/>
        <w:ind w:left="426"/>
        <w:jc w:val="both"/>
        <w:rPr>
          <w:rFonts w:cstheme="minorHAnsi"/>
        </w:rPr>
      </w:pPr>
      <w:r w:rsidRPr="00F455F4">
        <w:rPr>
          <w:rFonts w:cstheme="minorHAnsi"/>
        </w:rPr>
        <w:t>mapy podziału działek należy przekazać w wersji numerycznej;</w:t>
      </w:r>
    </w:p>
    <w:p w:rsidR="008E7A39" w:rsidRPr="00F455F4" w:rsidRDefault="008E7A39" w:rsidP="00AB4821">
      <w:pPr>
        <w:numPr>
          <w:ilvl w:val="0"/>
          <w:numId w:val="4"/>
        </w:numPr>
        <w:spacing w:line="240" w:lineRule="auto"/>
        <w:ind w:left="426"/>
        <w:jc w:val="both"/>
        <w:rPr>
          <w:rFonts w:cstheme="minorHAnsi"/>
        </w:rPr>
      </w:pPr>
      <w:r w:rsidRPr="00F455F4">
        <w:rPr>
          <w:rFonts w:cstheme="minorHAnsi"/>
        </w:rPr>
        <w:t xml:space="preserve"> uwzględnić w kosztorysie wznowienie punktów osnowy geodezyjnej, które muszą być usunięte na czas prowadzenia robót;</w:t>
      </w:r>
    </w:p>
    <w:p w:rsidR="008E7A39" w:rsidRPr="00F455F4" w:rsidRDefault="008E7A39" w:rsidP="00AB4821">
      <w:pPr>
        <w:numPr>
          <w:ilvl w:val="0"/>
          <w:numId w:val="4"/>
        </w:numPr>
        <w:spacing w:line="240" w:lineRule="auto"/>
        <w:ind w:left="426"/>
        <w:jc w:val="both"/>
        <w:rPr>
          <w:rFonts w:cstheme="minorHAnsi"/>
        </w:rPr>
      </w:pPr>
      <w:r w:rsidRPr="00F455F4">
        <w:rPr>
          <w:rFonts w:cstheme="minorHAnsi"/>
        </w:rPr>
        <w:t>należy określić dokumenty niezbędne do uzyskania decyzji na użytkowanie obiektu, bądź złożenia wniosku o zakończeniu budowy do właściwej jednostki nadzoru budowlanego;</w:t>
      </w:r>
    </w:p>
    <w:p w:rsidR="008E7A39" w:rsidRPr="00F455F4" w:rsidRDefault="008E7A39" w:rsidP="00AB4821">
      <w:pPr>
        <w:numPr>
          <w:ilvl w:val="0"/>
          <w:numId w:val="4"/>
        </w:numPr>
        <w:spacing w:line="240" w:lineRule="auto"/>
        <w:ind w:left="426"/>
        <w:jc w:val="both"/>
        <w:rPr>
          <w:rFonts w:cstheme="minorHAnsi"/>
        </w:rPr>
      </w:pPr>
      <w:r w:rsidRPr="00F455F4">
        <w:rPr>
          <w:rFonts w:cstheme="minorHAnsi"/>
        </w:rPr>
        <w:t xml:space="preserve"> należy dążyć do scalania pozycji kosztorysowych np. roboty ziemne na odkład nie powinny być rozbijane na wykopy, transport i nakłady uzupełniające. Powinna to być jedna pozycja „wykopy na odkład na odległość np. ….. km”;</w:t>
      </w:r>
    </w:p>
    <w:p w:rsidR="008E7A39" w:rsidRPr="00F455F4" w:rsidRDefault="008E7A39" w:rsidP="00AB4821">
      <w:pPr>
        <w:numPr>
          <w:ilvl w:val="0"/>
          <w:numId w:val="4"/>
        </w:numPr>
        <w:spacing w:line="240" w:lineRule="auto"/>
        <w:ind w:left="426"/>
        <w:jc w:val="both"/>
        <w:rPr>
          <w:rFonts w:cstheme="minorHAnsi"/>
        </w:rPr>
      </w:pPr>
      <w:r w:rsidRPr="00F455F4">
        <w:rPr>
          <w:rFonts w:cstheme="minorHAnsi"/>
        </w:rPr>
        <w:t xml:space="preserve"> konsultacje z zamawiającym w zakresie dostosowania nowoprojektowanej inwestycji </w:t>
      </w:r>
      <w:r w:rsidRPr="00F455F4">
        <w:rPr>
          <w:rFonts w:cstheme="minorHAnsi"/>
        </w:rPr>
        <w:br/>
        <w:t>i przyjętych w niej rozwiązań technologicznych jak i materiałowych do środków w budżecie;</w:t>
      </w:r>
    </w:p>
    <w:p w:rsidR="008E7A39" w:rsidRPr="00F455F4" w:rsidRDefault="008E7A39" w:rsidP="00AB4821">
      <w:pPr>
        <w:numPr>
          <w:ilvl w:val="0"/>
          <w:numId w:val="4"/>
        </w:numPr>
        <w:spacing w:line="240" w:lineRule="auto"/>
        <w:ind w:left="426"/>
        <w:jc w:val="both"/>
        <w:rPr>
          <w:rFonts w:cstheme="minorHAnsi"/>
        </w:rPr>
      </w:pPr>
      <w:r w:rsidRPr="00F455F4">
        <w:rPr>
          <w:rFonts w:cstheme="minorHAnsi"/>
        </w:rPr>
        <w:t xml:space="preserve"> jako wymóg dokumentów do odbioru końcowego należy wprowadzić operat do wniosku pozwolenia na użytkowanie lub zgłoszenia zakończenia robót;</w:t>
      </w:r>
    </w:p>
    <w:p w:rsidR="008E7A39" w:rsidRPr="00F455F4" w:rsidRDefault="008E7A39" w:rsidP="00AB4821">
      <w:pPr>
        <w:numPr>
          <w:ilvl w:val="0"/>
          <w:numId w:val="4"/>
        </w:numPr>
        <w:spacing w:line="240" w:lineRule="auto"/>
        <w:ind w:left="426"/>
        <w:jc w:val="both"/>
        <w:rPr>
          <w:rFonts w:cstheme="minorHAnsi"/>
        </w:rPr>
      </w:pPr>
      <w:r w:rsidRPr="00F455F4">
        <w:rPr>
          <w:rFonts w:cstheme="minorHAnsi"/>
        </w:rPr>
        <w:t xml:space="preserve"> projektant przekaże wersję roboczą dokumentacji technicznej w terminie wynikającym </w:t>
      </w:r>
      <w:r w:rsidRPr="00F455F4">
        <w:rPr>
          <w:rFonts w:cstheme="minorHAnsi"/>
        </w:rPr>
        <w:br/>
        <w:t>z harmonogramu umowy, w celu zatwierdze</w:t>
      </w:r>
      <w:r w:rsidR="003226C7">
        <w:rPr>
          <w:rFonts w:cstheme="minorHAnsi"/>
        </w:rPr>
        <w:t xml:space="preserve">nia rozwiązań technologicznych </w:t>
      </w:r>
      <w:r w:rsidRPr="00F455F4">
        <w:rPr>
          <w:rFonts w:cstheme="minorHAnsi"/>
        </w:rPr>
        <w:t>i materiałowych;</w:t>
      </w:r>
    </w:p>
    <w:p w:rsidR="008E7A39" w:rsidRPr="00F455F4" w:rsidRDefault="008E7A39" w:rsidP="00AB4821">
      <w:pPr>
        <w:numPr>
          <w:ilvl w:val="0"/>
          <w:numId w:val="4"/>
        </w:numPr>
        <w:spacing w:line="240" w:lineRule="auto"/>
        <w:ind w:left="426"/>
        <w:jc w:val="both"/>
        <w:rPr>
          <w:rFonts w:cstheme="minorHAnsi"/>
        </w:rPr>
      </w:pPr>
      <w:r w:rsidRPr="00F455F4">
        <w:rPr>
          <w:rFonts w:cstheme="minorHAnsi"/>
        </w:rPr>
        <w:t xml:space="preserve"> dokumentacja projektowa powinna bezwzględnie zawierać: tabelę robót ziemnych, wykaz robót na zjazdach oraz przekroje normalne opisane km zakresu ich stosowania, przedmiar </w:t>
      </w:r>
      <w:r w:rsidRPr="00F455F4">
        <w:rPr>
          <w:rFonts w:cstheme="minorHAnsi"/>
        </w:rPr>
        <w:br/>
        <w:t>ze szczegółowym opisem występowania i obliczeniem pozycji przedmiarowych oraz zawierający szczegółowe wykazy oznakowania poziomego;</w:t>
      </w:r>
    </w:p>
    <w:p w:rsidR="008E7A39" w:rsidRPr="00F455F4" w:rsidRDefault="008E7A39" w:rsidP="00AB4821">
      <w:pPr>
        <w:numPr>
          <w:ilvl w:val="0"/>
          <w:numId w:val="4"/>
        </w:numPr>
        <w:spacing w:line="240" w:lineRule="auto"/>
        <w:ind w:left="426"/>
        <w:jc w:val="both"/>
        <w:rPr>
          <w:rFonts w:cstheme="minorHAnsi"/>
        </w:rPr>
      </w:pPr>
      <w:r w:rsidRPr="00F455F4">
        <w:rPr>
          <w:rFonts w:cstheme="minorHAnsi"/>
        </w:rPr>
        <w:lastRenderedPageBreak/>
        <w:t xml:space="preserve">podczas przygotowywania dokumentacji technicznych nowoprojektowanych nawierzchni ulic do każdej działki należy zaprojektować jeden zjazd o szerokości jezdni </w:t>
      </w:r>
      <w:r w:rsidR="00AB4821">
        <w:rPr>
          <w:rFonts w:cstheme="minorHAnsi"/>
        </w:rPr>
        <w:t>4,0 m</w:t>
      </w:r>
      <w:r w:rsidRPr="00F455F4">
        <w:rPr>
          <w:rFonts w:cstheme="minorHAnsi"/>
        </w:rPr>
        <w:t xml:space="preserve"> </w:t>
      </w:r>
      <w:r w:rsidR="0068309B">
        <w:rPr>
          <w:rFonts w:cstheme="minorHAnsi"/>
        </w:rPr>
        <w:t xml:space="preserve">( z możliwością poszerzenia na wniosek mieszkańców), </w:t>
      </w:r>
      <w:r w:rsidRPr="00F455F4">
        <w:rPr>
          <w:rFonts w:cstheme="minorHAnsi"/>
        </w:rPr>
        <w:t>natomiast w przypadku opracowywania dokumentacji na przebudowę lub rozbudowę ulic należy uwzględnić w projekcie wszystkie istniejące zjazdy. W tym celu niezbędne jest wykonanie dokumentacji fotograficznej dołączonej do projektu wykonawczego;</w:t>
      </w:r>
    </w:p>
    <w:p w:rsidR="008E7A39" w:rsidRPr="00F455F4" w:rsidRDefault="008E7A39" w:rsidP="00AB4821">
      <w:pPr>
        <w:numPr>
          <w:ilvl w:val="0"/>
          <w:numId w:val="4"/>
        </w:numPr>
        <w:spacing w:line="240" w:lineRule="auto"/>
        <w:ind w:left="426"/>
        <w:jc w:val="both"/>
        <w:rPr>
          <w:rFonts w:cstheme="minorHAnsi"/>
        </w:rPr>
      </w:pPr>
      <w:r w:rsidRPr="00F455F4">
        <w:rPr>
          <w:rFonts w:cstheme="minorHAnsi"/>
        </w:rPr>
        <w:t>na zejściach dla pieszych (rampach) należy projektować 1 rząd płytek gładkich a następnie 2 rzędy płytek profilowanych (o powierzchni guzowatej);</w:t>
      </w:r>
    </w:p>
    <w:p w:rsidR="008E7A39" w:rsidRPr="00F455F4" w:rsidRDefault="008E7A39" w:rsidP="00AB4821">
      <w:pPr>
        <w:numPr>
          <w:ilvl w:val="0"/>
          <w:numId w:val="4"/>
        </w:numPr>
        <w:spacing w:line="240" w:lineRule="auto"/>
        <w:ind w:left="426"/>
        <w:jc w:val="both"/>
        <w:rPr>
          <w:rFonts w:cstheme="minorHAnsi"/>
        </w:rPr>
      </w:pPr>
      <w:r w:rsidRPr="00F455F4">
        <w:rPr>
          <w:rFonts w:cstheme="minorHAnsi"/>
        </w:rPr>
        <w:t xml:space="preserve">w dokumentacjach budowy bądź przebudowy dróg należy ustalić geotechniczne warunki </w:t>
      </w:r>
      <w:proofErr w:type="spellStart"/>
      <w:r w:rsidRPr="00F455F4">
        <w:rPr>
          <w:rFonts w:cstheme="minorHAnsi"/>
        </w:rPr>
        <w:t>posadawiania</w:t>
      </w:r>
      <w:proofErr w:type="spellEnd"/>
      <w:r w:rsidRPr="00F455F4">
        <w:rPr>
          <w:rFonts w:cstheme="minorHAnsi"/>
        </w:rPr>
        <w:t xml:space="preserve"> projektowanego obiektu, na podstawie Rozporządzenia Ministra Transportu, Budownictwa i Gospodarki Morskiej z dnia 25 kwietnia 2012 r. </w:t>
      </w:r>
      <w:r w:rsidRPr="00F455F4">
        <w:rPr>
          <w:rFonts w:cstheme="minorHAnsi"/>
          <w:bCs/>
        </w:rPr>
        <w:t xml:space="preserve">w sprawie ustalania geotechnicznych warunków </w:t>
      </w:r>
      <w:proofErr w:type="spellStart"/>
      <w:r w:rsidRPr="00F455F4">
        <w:rPr>
          <w:rFonts w:cstheme="minorHAnsi"/>
          <w:bCs/>
        </w:rPr>
        <w:t>posadawiania</w:t>
      </w:r>
      <w:proofErr w:type="spellEnd"/>
      <w:r w:rsidRPr="00F455F4">
        <w:rPr>
          <w:rFonts w:cstheme="minorHAnsi"/>
          <w:bCs/>
        </w:rPr>
        <w:t xml:space="preserve"> obiektów budowlanych</w:t>
      </w:r>
      <w:r w:rsidRPr="00F455F4">
        <w:rPr>
          <w:rFonts w:cstheme="minorHAnsi"/>
        </w:rPr>
        <w:t xml:space="preserve"> </w:t>
      </w:r>
      <w:r w:rsidRPr="00F455F4">
        <w:rPr>
          <w:rFonts w:cstheme="minorHAnsi"/>
          <w:bCs/>
        </w:rPr>
        <w:t>(Dz.U. z 2012 r. poz. 463);</w:t>
      </w:r>
    </w:p>
    <w:p w:rsidR="008E7A39" w:rsidRPr="00F455F4" w:rsidRDefault="008E7A39" w:rsidP="00AB4821">
      <w:pPr>
        <w:numPr>
          <w:ilvl w:val="0"/>
          <w:numId w:val="4"/>
        </w:numPr>
        <w:spacing w:line="240" w:lineRule="auto"/>
        <w:ind w:left="426"/>
        <w:jc w:val="both"/>
        <w:rPr>
          <w:rFonts w:cstheme="minorHAnsi"/>
        </w:rPr>
      </w:pPr>
      <w:r w:rsidRPr="00F455F4">
        <w:rPr>
          <w:rFonts w:cstheme="minorHAnsi"/>
        </w:rPr>
        <w:t>dokumentację geotechniczną opracować zgodnie z normami PN-EN 19</w:t>
      </w:r>
      <w:r w:rsidR="00CF35CF" w:rsidRPr="00F455F4">
        <w:rPr>
          <w:rFonts w:cstheme="minorHAnsi"/>
        </w:rPr>
        <w:t>97-1 i PN-EN 1997-2 (</w:t>
      </w:r>
      <w:proofErr w:type="spellStart"/>
      <w:r w:rsidR="00CF35CF" w:rsidRPr="00F455F4">
        <w:rPr>
          <w:rFonts w:cstheme="minorHAnsi"/>
        </w:rPr>
        <w:t>Eurokod</w:t>
      </w:r>
      <w:proofErr w:type="spellEnd"/>
      <w:r w:rsidR="00CF35CF" w:rsidRPr="00F455F4">
        <w:rPr>
          <w:rFonts w:cstheme="minorHAnsi"/>
        </w:rPr>
        <w:t xml:space="preserve"> 7 jeśli dotyczy);</w:t>
      </w:r>
    </w:p>
    <w:p w:rsidR="008E7A39" w:rsidRPr="00F455F4" w:rsidRDefault="008E7A39" w:rsidP="00AB4821">
      <w:pPr>
        <w:numPr>
          <w:ilvl w:val="0"/>
          <w:numId w:val="4"/>
        </w:numPr>
        <w:spacing w:line="240" w:lineRule="auto"/>
        <w:ind w:left="426"/>
        <w:jc w:val="both"/>
        <w:rPr>
          <w:rFonts w:cstheme="minorHAnsi"/>
        </w:rPr>
      </w:pPr>
      <w:r w:rsidRPr="00F455F4">
        <w:rPr>
          <w:rFonts w:cstheme="minorHAnsi"/>
        </w:rPr>
        <w:t>ze względu na przerwy technologiczne niezbędne podczas wykonania ulepszonego podłoża lub innych warstw z kruszywa stabilizowanego cementem, wydłużające znacznie czas trwania robót a w związku z tym utrudnienia w ruchu szczególnie w centrum danej miejscowości, należy rozważyć inny sposób wzmocnienia podłoża;</w:t>
      </w:r>
    </w:p>
    <w:p w:rsidR="008E7A39" w:rsidRDefault="008E7A39" w:rsidP="00AB4821">
      <w:pPr>
        <w:numPr>
          <w:ilvl w:val="0"/>
          <w:numId w:val="4"/>
        </w:numPr>
        <w:spacing w:line="240" w:lineRule="auto"/>
        <w:ind w:left="426"/>
        <w:jc w:val="both"/>
        <w:rPr>
          <w:rFonts w:cstheme="minorHAnsi"/>
        </w:rPr>
      </w:pPr>
      <w:r w:rsidRPr="00F455F4">
        <w:rPr>
          <w:rFonts w:cstheme="minorHAnsi"/>
        </w:rPr>
        <w:t xml:space="preserve">wykonawca dokumentacji projektowej zobowiązany jest do niezwłocznej konsultacji </w:t>
      </w:r>
      <w:r w:rsidRPr="00F455F4">
        <w:rPr>
          <w:rFonts w:cstheme="minorHAnsi"/>
        </w:rPr>
        <w:br/>
        <w:t>z Zamawiającym wszystkich uzyskiwanych warunków technic</w:t>
      </w:r>
      <w:r w:rsidR="003226C7">
        <w:rPr>
          <w:rFonts w:cstheme="minorHAnsi"/>
        </w:rPr>
        <w:t xml:space="preserve">znych na przebudowę kolidującej </w:t>
      </w:r>
      <w:r w:rsidRPr="00F455F4">
        <w:rPr>
          <w:rFonts w:cstheme="minorHAnsi"/>
        </w:rPr>
        <w:t>infrastruktury technicznej;</w:t>
      </w:r>
    </w:p>
    <w:p w:rsidR="008E7A39" w:rsidRPr="00F455F4" w:rsidRDefault="008E7A39" w:rsidP="00AB4821">
      <w:pPr>
        <w:numPr>
          <w:ilvl w:val="0"/>
          <w:numId w:val="4"/>
        </w:numPr>
        <w:spacing w:line="240" w:lineRule="auto"/>
        <w:ind w:left="426"/>
        <w:jc w:val="both"/>
        <w:rPr>
          <w:rFonts w:cstheme="minorHAnsi"/>
        </w:rPr>
      </w:pPr>
      <w:r w:rsidRPr="00F455F4">
        <w:rPr>
          <w:rFonts w:cstheme="minorHAnsi"/>
        </w:rPr>
        <w:t xml:space="preserve">podczas projektowania budowy bądź przebudowy drogi w miejscu jej przecięcia </w:t>
      </w:r>
      <w:r w:rsidRPr="00F455F4">
        <w:rPr>
          <w:rFonts w:cstheme="minorHAnsi"/>
        </w:rPr>
        <w:br/>
        <w:t>z urządzeniem typu liniowego np. linia energetyczna, telekomunikacyjna, rurociąg i gdy powoduje naruszenie tych obiektów lub urządzeń należy określić wartościowo kwotę podniesienia standardu projektowanej sieci. Jest to niezbędne podczas zawierania umów na przebudowę sieci z gestorami mediów, gdyż zgodnie z ustawą z dnia 21 marca 1985 r. o drogach publicznych art. 32 pkt 4 koszty ulepszenia urządzeń pokrywa ich właściciel lub użytkownik;</w:t>
      </w:r>
    </w:p>
    <w:p w:rsidR="008E7A39" w:rsidRPr="00F455F4" w:rsidRDefault="008E7A39" w:rsidP="00AB4821">
      <w:pPr>
        <w:numPr>
          <w:ilvl w:val="0"/>
          <w:numId w:val="4"/>
        </w:numPr>
        <w:spacing w:line="240" w:lineRule="auto"/>
        <w:ind w:left="426"/>
        <w:jc w:val="both"/>
        <w:rPr>
          <w:rFonts w:cstheme="minorHAnsi"/>
        </w:rPr>
      </w:pPr>
      <w:r w:rsidRPr="00F455F4">
        <w:rPr>
          <w:rFonts w:cstheme="minorHAnsi"/>
        </w:rPr>
        <w:t>na kablowej sieci energetycznej, jak również telekomunikacyjnej, dokumentacja projektowa winna uwzględnić jedynie zabezpieczenie w postaci rur rezerwowych HDPE wzdłuż przebiegu istniejącej infrastruktury. W dokumentacji projektowej nie mogą zostać zaprojektowane na koszt zarządcy drogi jednocześnie rury rezerwowe i osłonowe dla ww. infrastruktury;</w:t>
      </w:r>
    </w:p>
    <w:p w:rsidR="008E7A39" w:rsidRPr="00F455F4" w:rsidRDefault="008E7A39" w:rsidP="00AB4821">
      <w:pPr>
        <w:numPr>
          <w:ilvl w:val="0"/>
          <w:numId w:val="4"/>
        </w:numPr>
        <w:spacing w:line="240" w:lineRule="auto"/>
        <w:ind w:left="426"/>
        <w:jc w:val="both"/>
        <w:rPr>
          <w:rFonts w:cstheme="minorHAnsi"/>
        </w:rPr>
      </w:pPr>
      <w:r w:rsidRPr="00F455F4">
        <w:rPr>
          <w:rFonts w:cstheme="minorHAnsi"/>
        </w:rPr>
        <w:t>w dokumentacji należy przewidywać jak największe wykorzystanie gruntu rodzimego do zasypania wykopów liniowych;</w:t>
      </w:r>
    </w:p>
    <w:p w:rsidR="005B385B" w:rsidRDefault="008E7A39" w:rsidP="00AB4821">
      <w:pPr>
        <w:numPr>
          <w:ilvl w:val="0"/>
          <w:numId w:val="4"/>
        </w:numPr>
        <w:spacing w:line="240" w:lineRule="auto"/>
        <w:ind w:left="426"/>
        <w:jc w:val="both"/>
        <w:rPr>
          <w:rFonts w:cstheme="minorHAnsi"/>
        </w:rPr>
      </w:pPr>
      <w:r w:rsidRPr="005B385B">
        <w:rPr>
          <w:rFonts w:cstheme="minorHAnsi"/>
        </w:rPr>
        <w:t>w dokumentacji projektowej oraz w kosztorysach należy ujmować demontaż przebudowanej</w:t>
      </w:r>
      <w:r w:rsidR="003226C7" w:rsidRPr="005B385B">
        <w:rPr>
          <w:rFonts w:cstheme="minorHAnsi"/>
        </w:rPr>
        <w:br/>
      </w:r>
      <w:r w:rsidRPr="005B385B">
        <w:rPr>
          <w:rFonts w:cstheme="minorHAnsi"/>
        </w:rPr>
        <w:t>i wyłączonej z eksploatacji infrastruktury podziemnej wraz z niezbędnymi robotami ziemnymi;</w:t>
      </w:r>
    </w:p>
    <w:p w:rsidR="003E10DF" w:rsidRPr="003E10DF" w:rsidRDefault="003E10DF" w:rsidP="00AB4821">
      <w:pPr>
        <w:pStyle w:val="Akapitzlist"/>
        <w:numPr>
          <w:ilvl w:val="0"/>
          <w:numId w:val="4"/>
        </w:numPr>
        <w:spacing w:line="240" w:lineRule="auto"/>
        <w:ind w:left="567" w:hanging="567"/>
        <w:rPr>
          <w:rFonts w:cstheme="minorHAnsi"/>
        </w:rPr>
      </w:pPr>
      <w:r w:rsidRPr="003E10DF">
        <w:rPr>
          <w:rFonts w:cstheme="minorHAnsi"/>
        </w:rPr>
        <w:t xml:space="preserve">przy budowie lub przebudowie kanału deszczowego </w:t>
      </w:r>
      <w:r>
        <w:rPr>
          <w:rFonts w:cstheme="minorHAnsi"/>
        </w:rPr>
        <w:t xml:space="preserve">(jeśli dotyczy) </w:t>
      </w:r>
      <w:r w:rsidRPr="003E10DF">
        <w:rPr>
          <w:rFonts w:cstheme="minorHAnsi"/>
        </w:rPr>
        <w:t>SST branży drogowej oraz branży sanitarnej nie powinny dublować regulacji studni kanalizacji deszczowej do nowoprojektowanej niwelety jezdni;</w:t>
      </w:r>
    </w:p>
    <w:p w:rsidR="008E7A39" w:rsidRPr="005B385B" w:rsidRDefault="008E7A39" w:rsidP="00AB4821">
      <w:pPr>
        <w:numPr>
          <w:ilvl w:val="0"/>
          <w:numId w:val="4"/>
        </w:numPr>
        <w:spacing w:line="240" w:lineRule="auto"/>
        <w:ind w:left="426"/>
        <w:jc w:val="both"/>
        <w:rPr>
          <w:rFonts w:cstheme="minorHAnsi"/>
        </w:rPr>
      </w:pPr>
      <w:r w:rsidRPr="005B385B">
        <w:rPr>
          <w:rFonts w:cstheme="minorHAnsi"/>
        </w:rPr>
        <w:t>wykonanie włazów żeliwnych i wpustów wg PN-EN 124;</w:t>
      </w:r>
    </w:p>
    <w:p w:rsidR="008E7A39" w:rsidRPr="00F455F4" w:rsidRDefault="008E7A39" w:rsidP="00AB4821">
      <w:pPr>
        <w:numPr>
          <w:ilvl w:val="0"/>
          <w:numId w:val="4"/>
        </w:numPr>
        <w:spacing w:line="240" w:lineRule="auto"/>
        <w:ind w:left="426"/>
        <w:jc w:val="both"/>
        <w:rPr>
          <w:rFonts w:cstheme="minorHAnsi"/>
        </w:rPr>
      </w:pPr>
      <w:r w:rsidRPr="00F455F4">
        <w:rPr>
          <w:rFonts w:cstheme="minorHAnsi"/>
        </w:rPr>
        <w:t>zwieńczenia studni w jezdniach wyposażać w płyty odciążające żelbetowe lub zwężki betonowe;</w:t>
      </w:r>
    </w:p>
    <w:p w:rsidR="008E7A39" w:rsidRPr="00F455F4" w:rsidRDefault="008E7A39" w:rsidP="00AB4821">
      <w:pPr>
        <w:numPr>
          <w:ilvl w:val="0"/>
          <w:numId w:val="4"/>
        </w:numPr>
        <w:spacing w:line="240" w:lineRule="auto"/>
        <w:ind w:left="426"/>
        <w:jc w:val="both"/>
        <w:rPr>
          <w:rFonts w:cstheme="minorHAnsi"/>
        </w:rPr>
      </w:pPr>
      <w:r w:rsidRPr="00F455F4">
        <w:rPr>
          <w:rFonts w:cstheme="minorHAnsi"/>
        </w:rPr>
        <w:t xml:space="preserve">obróbka studni kanalizacyjnych, sanitarnych, zasuw wodociągowych i zaworów gazowych w nawierzchni jezdni i chodnikach </w:t>
      </w:r>
      <w:r w:rsidR="003226C7">
        <w:rPr>
          <w:rFonts w:cstheme="minorHAnsi"/>
        </w:rPr>
        <w:t xml:space="preserve">winna zostać ujęta  </w:t>
      </w:r>
      <w:r w:rsidRPr="00F455F4">
        <w:rPr>
          <w:rFonts w:cstheme="minorHAnsi"/>
        </w:rPr>
        <w:t>w dokumentacji projektowej;</w:t>
      </w:r>
    </w:p>
    <w:p w:rsidR="008E7A39" w:rsidRPr="005B385B" w:rsidRDefault="008E7A39" w:rsidP="00AB4821">
      <w:pPr>
        <w:numPr>
          <w:ilvl w:val="0"/>
          <w:numId w:val="4"/>
        </w:numPr>
        <w:spacing w:line="240" w:lineRule="auto"/>
        <w:ind w:left="426"/>
        <w:jc w:val="both"/>
        <w:rPr>
          <w:rFonts w:cstheme="minorHAnsi"/>
        </w:rPr>
      </w:pPr>
      <w:r w:rsidRPr="00F455F4">
        <w:rPr>
          <w:rFonts w:eastAsia="Calibri" w:cstheme="minorHAnsi"/>
        </w:rPr>
        <w:t>do regulacji wysokościowej włazu żeliwnego stosować pierścienie regulacyjne żelbetowe;</w:t>
      </w:r>
    </w:p>
    <w:p w:rsidR="005B385B" w:rsidRPr="00F455F4" w:rsidRDefault="005B385B" w:rsidP="00AB4821">
      <w:pPr>
        <w:numPr>
          <w:ilvl w:val="0"/>
          <w:numId w:val="4"/>
        </w:numPr>
        <w:spacing w:line="240" w:lineRule="auto"/>
        <w:ind w:left="426" w:hanging="426"/>
        <w:jc w:val="both"/>
        <w:rPr>
          <w:rFonts w:cstheme="minorHAnsi"/>
        </w:rPr>
      </w:pPr>
      <w:r w:rsidRPr="005B385B">
        <w:rPr>
          <w:rFonts w:cstheme="minorHAnsi"/>
        </w:rPr>
        <w:t>na studniach głębokich o średnicy powyżej 1000 mm, mając na względzie rachunek ekonomiczny, stosować płyty redukcyjnej i nabudowanie komina włazowego średnicy 1000 mm, przy zachowaniu wysokości komory roboczej studni nie mniejszej niż 2,0 m</w:t>
      </w:r>
    </w:p>
    <w:p w:rsidR="008E7A39" w:rsidRPr="00F455F4" w:rsidRDefault="008E7A39" w:rsidP="00AB4821">
      <w:pPr>
        <w:numPr>
          <w:ilvl w:val="0"/>
          <w:numId w:val="4"/>
        </w:numPr>
        <w:spacing w:line="240" w:lineRule="auto"/>
        <w:ind w:left="426"/>
        <w:jc w:val="both"/>
        <w:rPr>
          <w:rFonts w:cstheme="minorHAnsi"/>
        </w:rPr>
      </w:pPr>
      <w:r w:rsidRPr="00F455F4">
        <w:rPr>
          <w:rFonts w:eastAsia="Calibri" w:cstheme="minorHAnsi"/>
        </w:rPr>
        <w:lastRenderedPageBreak/>
        <w:t>wpusty ściekowe projektować jako prefabrykat betonowy o średnicy 500 mm, z osadnikiem</w:t>
      </w:r>
      <w:r w:rsidR="003226C7">
        <w:rPr>
          <w:rFonts w:eastAsia="Calibri" w:cstheme="minorHAnsi"/>
        </w:rPr>
        <w:br/>
      </w:r>
      <w:r w:rsidRPr="00F455F4">
        <w:rPr>
          <w:rFonts w:eastAsia="Calibri" w:cstheme="minorHAnsi"/>
        </w:rPr>
        <w:t xml:space="preserve">o głębokości 1.00 m. Studzienki wykonane z betonu kl. C35/45, o nasiąkliwości do 4%, wodoszczelności min. W8 i </w:t>
      </w:r>
      <w:proofErr w:type="spellStart"/>
      <w:r w:rsidRPr="00F455F4">
        <w:rPr>
          <w:rFonts w:eastAsia="Calibri" w:cstheme="minorHAnsi"/>
        </w:rPr>
        <w:t>mrozochronności</w:t>
      </w:r>
      <w:proofErr w:type="spellEnd"/>
      <w:r w:rsidRPr="00F455F4">
        <w:rPr>
          <w:rFonts w:eastAsia="Calibri" w:cstheme="minorHAnsi"/>
        </w:rPr>
        <w:t xml:space="preserve"> F150;</w:t>
      </w:r>
    </w:p>
    <w:p w:rsidR="008E7A39" w:rsidRPr="005B385B" w:rsidRDefault="008E7A39" w:rsidP="00AB4821">
      <w:pPr>
        <w:numPr>
          <w:ilvl w:val="0"/>
          <w:numId w:val="4"/>
        </w:numPr>
        <w:spacing w:line="240" w:lineRule="auto"/>
        <w:ind w:left="426"/>
        <w:jc w:val="both"/>
        <w:rPr>
          <w:rFonts w:cstheme="minorHAnsi"/>
        </w:rPr>
      </w:pPr>
      <w:r w:rsidRPr="00F455F4">
        <w:rPr>
          <w:rFonts w:eastAsia="Calibri" w:cstheme="minorHAnsi"/>
        </w:rPr>
        <w:t>kraty ściekowe projektować jako jezdniowe, jezdniowo-krawężnikowe lub krawężnikowe żeliwne;</w:t>
      </w:r>
    </w:p>
    <w:p w:rsidR="005B385B" w:rsidRDefault="005B385B" w:rsidP="00AB4821">
      <w:pPr>
        <w:pStyle w:val="Akapitzlist"/>
        <w:numPr>
          <w:ilvl w:val="0"/>
          <w:numId w:val="4"/>
        </w:numPr>
        <w:spacing w:line="240" w:lineRule="auto"/>
        <w:ind w:left="426" w:hanging="426"/>
        <w:rPr>
          <w:rFonts w:cstheme="minorHAnsi"/>
        </w:rPr>
      </w:pPr>
      <w:r w:rsidRPr="005B385B">
        <w:rPr>
          <w:rFonts w:cstheme="minorHAnsi"/>
        </w:rPr>
        <w:t>kraty jezdniowe z żeliwa szarego, z zawiasem i ryglem w klasie D400, o wysokości korpusu 150 mm. Kraty jezdniowo-krawężnikowe i krawężnikowe żeliwne w klasie min. C250, o wysokości korpusu dostosowanego do wysokości światła krawężnika;</w:t>
      </w:r>
    </w:p>
    <w:p w:rsidR="005B385B" w:rsidRPr="005B385B" w:rsidRDefault="005B385B" w:rsidP="00AB4821">
      <w:pPr>
        <w:pStyle w:val="Akapitzlist"/>
        <w:numPr>
          <w:ilvl w:val="0"/>
          <w:numId w:val="4"/>
        </w:numPr>
        <w:spacing w:line="240" w:lineRule="auto"/>
        <w:ind w:left="426" w:hanging="426"/>
        <w:rPr>
          <w:rFonts w:cstheme="minorHAnsi"/>
        </w:rPr>
      </w:pPr>
      <w:r w:rsidRPr="005B385B">
        <w:rPr>
          <w:rFonts w:cstheme="minorHAnsi"/>
        </w:rPr>
        <w:t>materiał dobierać w dostosowaniu do warunków gruntowo-wodnych. W gruntach nawodnionych stosować rury żelbetowe lub kamionkowe, ewentualnie z materiałów lekkich z ich dociążeniem. Sposób posadowienia rur z tworzyw sztucznych w gruntach nawodnionych należy określić na etapie projektu, z załączeniem obliczeń statycznych;</w:t>
      </w:r>
    </w:p>
    <w:p w:rsidR="008E7A39" w:rsidRPr="00F455F4" w:rsidRDefault="008E7A39" w:rsidP="00AB4821">
      <w:pPr>
        <w:numPr>
          <w:ilvl w:val="0"/>
          <w:numId w:val="4"/>
        </w:numPr>
        <w:spacing w:line="240" w:lineRule="auto"/>
        <w:ind w:left="426"/>
        <w:jc w:val="both"/>
        <w:rPr>
          <w:rFonts w:cstheme="minorHAnsi"/>
        </w:rPr>
      </w:pPr>
      <w:r w:rsidRPr="00F455F4">
        <w:rPr>
          <w:rFonts w:eastAsia="Times New Roman" w:cstheme="minorHAnsi"/>
          <w:lang w:eastAsia="pl-PL"/>
        </w:rPr>
        <w:t>w dokumentacji projektowej należy ujmować koszty wykonywania monitoringu wizyjnego wykonanych sieci</w:t>
      </w:r>
      <w:r w:rsidR="005C0BB6">
        <w:rPr>
          <w:rFonts w:eastAsia="Times New Roman" w:cstheme="minorHAnsi"/>
          <w:lang w:eastAsia="pl-PL"/>
        </w:rPr>
        <w:t xml:space="preserve"> (jeśli dotyczy)</w:t>
      </w:r>
      <w:r w:rsidRPr="00F455F4">
        <w:rPr>
          <w:rFonts w:eastAsia="Times New Roman" w:cstheme="minorHAnsi"/>
          <w:lang w:eastAsia="pl-PL"/>
        </w:rPr>
        <w:t>;</w:t>
      </w:r>
    </w:p>
    <w:p w:rsidR="008E7A39" w:rsidRPr="00F455F4" w:rsidRDefault="008E7A39" w:rsidP="00AB4821">
      <w:pPr>
        <w:numPr>
          <w:ilvl w:val="0"/>
          <w:numId w:val="4"/>
        </w:numPr>
        <w:spacing w:line="240" w:lineRule="auto"/>
        <w:ind w:left="426"/>
        <w:jc w:val="both"/>
        <w:rPr>
          <w:rFonts w:cstheme="minorHAnsi"/>
        </w:rPr>
      </w:pPr>
      <w:r w:rsidRPr="00F455F4">
        <w:rPr>
          <w:rFonts w:eastAsia="Calibri" w:cstheme="minorHAnsi"/>
        </w:rPr>
        <w:t xml:space="preserve">jezdnia – oznakowanie grubowarstwowe z mas chemoutwardzalnych (pełne). Należy ująć </w:t>
      </w:r>
      <w:r w:rsidRPr="00F455F4">
        <w:rPr>
          <w:rFonts w:eastAsia="Calibri" w:cstheme="minorHAnsi"/>
        </w:rPr>
        <w:br/>
        <w:t>w SST okres gwarancji na oznakowanie poziome cienkowarstwowe 1 rok od bezusterkowego odbioru końcowego lub od daty sporządzenia protokołu z usunięcia usterek. W przypadku wykonania oznakowania grubowarstwowe wynosi 3 lata;</w:t>
      </w:r>
    </w:p>
    <w:p w:rsidR="00B32927" w:rsidRPr="00AB4821" w:rsidRDefault="008E7A39" w:rsidP="00B32927">
      <w:pPr>
        <w:numPr>
          <w:ilvl w:val="0"/>
          <w:numId w:val="4"/>
        </w:numPr>
        <w:spacing w:line="240" w:lineRule="auto"/>
        <w:ind w:left="426"/>
        <w:jc w:val="both"/>
        <w:rPr>
          <w:rFonts w:cstheme="minorHAnsi"/>
        </w:rPr>
      </w:pPr>
      <w:r w:rsidRPr="00F455F4">
        <w:rPr>
          <w:rFonts w:eastAsia="Calibri" w:cstheme="minorHAnsi"/>
        </w:rPr>
        <w:t xml:space="preserve">w przypadku konieczności uzyskania dla danej inwestycji drogowej decyzji na wycinkę drzew </w:t>
      </w:r>
      <w:r w:rsidR="003226C7">
        <w:rPr>
          <w:rFonts w:eastAsia="Calibri" w:cstheme="minorHAnsi"/>
        </w:rPr>
        <w:br/>
      </w:r>
      <w:r w:rsidRPr="00F455F4">
        <w:rPr>
          <w:rFonts w:eastAsia="Calibri" w:cstheme="minorHAnsi"/>
        </w:rPr>
        <w:t>i krzewów Szczegółowe Specyfikacje Techniczne oraz przedmiary powinny uwzględniać nasadzenia zastępcze, zgodnie z otrzymaną decyzją wraz z 3 letnim okresem ich pielęgnacji;</w:t>
      </w:r>
    </w:p>
    <w:p w:rsidR="00AB4821" w:rsidRPr="00AB4821" w:rsidRDefault="00AB4821" w:rsidP="00AB4821">
      <w:pPr>
        <w:autoSpaceDE w:val="0"/>
        <w:autoSpaceDN w:val="0"/>
        <w:adjustRightInd w:val="0"/>
        <w:spacing w:after="0" w:line="240" w:lineRule="auto"/>
        <w:rPr>
          <w:rFonts w:cstheme="minorHAnsi"/>
          <w:b/>
          <w:bCs/>
        </w:rPr>
      </w:pPr>
      <w:r w:rsidRPr="00AB4821">
        <w:rPr>
          <w:rFonts w:cstheme="minorHAnsi"/>
          <w:b/>
          <w:bCs/>
        </w:rPr>
        <w:t xml:space="preserve">Oświetlenie </w:t>
      </w:r>
    </w:p>
    <w:p w:rsidR="00AB4821" w:rsidRPr="00AB4821" w:rsidRDefault="00AB4821" w:rsidP="00AB4821">
      <w:pPr>
        <w:autoSpaceDE w:val="0"/>
        <w:autoSpaceDN w:val="0"/>
        <w:adjustRightInd w:val="0"/>
        <w:spacing w:after="0" w:line="240" w:lineRule="auto"/>
        <w:rPr>
          <w:rFonts w:cstheme="minorHAnsi"/>
          <w:b/>
          <w:bCs/>
        </w:rPr>
      </w:pPr>
    </w:p>
    <w:p w:rsidR="00AB4821" w:rsidRPr="00AB4821" w:rsidRDefault="00AB4821" w:rsidP="00AB4821">
      <w:pPr>
        <w:autoSpaceDE w:val="0"/>
        <w:autoSpaceDN w:val="0"/>
        <w:adjustRightInd w:val="0"/>
        <w:spacing w:after="0" w:line="240" w:lineRule="auto"/>
        <w:rPr>
          <w:rFonts w:cstheme="minorHAnsi"/>
          <w:b/>
          <w:bCs/>
        </w:rPr>
      </w:pPr>
      <w:r w:rsidRPr="00AB4821">
        <w:rPr>
          <w:rFonts w:cstheme="minorHAnsi"/>
          <w:b/>
          <w:bCs/>
        </w:rPr>
        <w:t>Słupy oświetleniowe</w:t>
      </w:r>
    </w:p>
    <w:p w:rsidR="00AB4821" w:rsidRPr="00AB4821" w:rsidRDefault="007F6EF6" w:rsidP="00AB4821">
      <w:pPr>
        <w:autoSpaceDE w:val="0"/>
        <w:autoSpaceDN w:val="0"/>
        <w:adjustRightInd w:val="0"/>
        <w:spacing w:after="0" w:line="240" w:lineRule="auto"/>
        <w:jc w:val="both"/>
        <w:rPr>
          <w:rFonts w:eastAsia="TimesNewRoman" w:cstheme="minorHAnsi"/>
        </w:rPr>
      </w:pPr>
      <w:r>
        <w:rPr>
          <w:rFonts w:eastAsia="TimesNewRoman" w:cstheme="minorHAnsi"/>
        </w:rPr>
        <w:t>Do</w:t>
      </w:r>
      <w:r w:rsidR="00AB4821" w:rsidRPr="00AB4821">
        <w:rPr>
          <w:rFonts w:eastAsia="TimesNewRoman" w:cstheme="minorHAnsi"/>
        </w:rPr>
        <w:t xml:space="preserve"> oświetlenia należy stosować słupy oświetleniowe aluminiowe umożliwiające zawieszenie opraw o wysokości od 6 do 10 m. Zalecana wysokość słupa 8</w:t>
      </w:r>
      <w:r w:rsidR="00AB4821">
        <w:rPr>
          <w:rFonts w:eastAsia="TimesNewRoman" w:cstheme="minorHAnsi"/>
        </w:rPr>
        <w:t xml:space="preserve"> </w:t>
      </w:r>
      <w:r w:rsidR="00AB4821" w:rsidRPr="00AB4821">
        <w:rPr>
          <w:rFonts w:eastAsia="TimesNewRoman" w:cstheme="minorHAnsi"/>
        </w:rPr>
        <w:t>m. Słupy powinny przenieść obciążenia wynikające z zawieszenia opraw i wysięgników</w:t>
      </w:r>
      <w:r>
        <w:rPr>
          <w:rFonts w:eastAsia="TimesNewRoman" w:cstheme="minorHAnsi"/>
        </w:rPr>
        <w:t xml:space="preserve"> oraz parcia wiatru dla I</w:t>
      </w:r>
      <w:r w:rsidR="00AB4821" w:rsidRPr="00AB4821">
        <w:rPr>
          <w:rFonts w:eastAsia="TimesNewRoman" w:cstheme="minorHAnsi"/>
        </w:rPr>
        <w:t xml:space="preserve"> strefy wiatrowej. W dolnej części słupy powinny posiadać jedną wnękę zamykaną drzwiczkami (o minimalnych wymiarach 400x95mm). Wnęka powinna być przystosowana do zainstalowania typowej tabliczki bezpiecznikowo-zaciskowej wg. wzoru określonego przez Zamawiającego, posiadającej podstawy bezpiecznikowe 25A (w ilości zależnej od ilości zainstalowanych opraw) i cztery lub pięć zacisków do podłączenia dwóch żył kabla o przekroju do 35mm2. Słupy należy trwale ponumerować, każdy numer winien być z dopiskiem /UG. Elementy powinny być proste w granicach dopuszczalnych odchyłek podanych w dokumentacji projektowej. Składowanie słupów oświetleniowych na placu budowy, powinno być na wyrównanym podłożu w pozycji poziomej, z zastosowaniem przekładek z drewna miękkiego. Słupy powinny być numerowane. Styki należy posmarować wazeliną. </w:t>
      </w:r>
    </w:p>
    <w:p w:rsidR="00AB4821" w:rsidRPr="00AB4821" w:rsidRDefault="00AB4821" w:rsidP="00AB4821">
      <w:pPr>
        <w:spacing w:after="0"/>
        <w:jc w:val="both"/>
        <w:rPr>
          <w:rFonts w:eastAsia="TimesNewRoman" w:cstheme="minorHAnsi"/>
        </w:rPr>
      </w:pPr>
      <w:r w:rsidRPr="00AB4821">
        <w:rPr>
          <w:rFonts w:eastAsia="TimesNewRoman" w:cstheme="minorHAnsi"/>
        </w:rPr>
        <w:t xml:space="preserve">Słupy i wysięgniki nie powinny być składowane bezpośrednio na ziemi lub w sąsiedztwie materiałów proszkowych. Nie zaleca się przechowywania słupów przez dłuższy okres bez odpowiedniej wentylacji. Słupy z podstawą powinny być umieszczone na czystym i równym fundamencie. </w:t>
      </w:r>
    </w:p>
    <w:p w:rsidR="00AB4821" w:rsidRPr="00AB4821" w:rsidRDefault="00AB4821" w:rsidP="00AB4821">
      <w:pPr>
        <w:spacing w:after="0"/>
        <w:jc w:val="both"/>
        <w:rPr>
          <w:rFonts w:eastAsia="TimesNewRoman" w:cstheme="minorHAnsi"/>
        </w:rPr>
      </w:pPr>
      <w:r w:rsidRPr="00AB4821">
        <w:rPr>
          <w:rFonts w:eastAsia="TimesNewRoman" w:cstheme="minorHAnsi"/>
        </w:rPr>
        <w:t xml:space="preserve">Słupy mocujące słup i wnęki słupowe (śruby, nakrętki) </w:t>
      </w:r>
      <w:proofErr w:type="spellStart"/>
      <w:r w:rsidRPr="00AB4821">
        <w:rPr>
          <w:rFonts w:eastAsia="TimesNewRoman" w:cstheme="minorHAnsi"/>
        </w:rPr>
        <w:t>tawotować</w:t>
      </w:r>
      <w:proofErr w:type="spellEnd"/>
      <w:r w:rsidRPr="00AB4821">
        <w:rPr>
          <w:rFonts w:eastAsia="TimesNewRoman" w:cstheme="minorHAnsi"/>
        </w:rPr>
        <w:t xml:space="preserve">. </w:t>
      </w:r>
    </w:p>
    <w:p w:rsidR="00AB4821" w:rsidRPr="00AB4821" w:rsidRDefault="00AB4821" w:rsidP="00AB4821">
      <w:pPr>
        <w:autoSpaceDE w:val="0"/>
        <w:autoSpaceDN w:val="0"/>
        <w:adjustRightInd w:val="0"/>
        <w:spacing w:after="0" w:line="240" w:lineRule="auto"/>
        <w:rPr>
          <w:rFonts w:cstheme="minorHAnsi"/>
          <w:b/>
          <w:bCs/>
        </w:rPr>
      </w:pPr>
    </w:p>
    <w:p w:rsidR="00AB4821" w:rsidRPr="00AB4821" w:rsidRDefault="00AB4821" w:rsidP="00AB4821">
      <w:pPr>
        <w:autoSpaceDE w:val="0"/>
        <w:autoSpaceDN w:val="0"/>
        <w:adjustRightInd w:val="0"/>
        <w:spacing w:after="0" w:line="240" w:lineRule="auto"/>
        <w:rPr>
          <w:rFonts w:cstheme="minorHAnsi"/>
          <w:b/>
          <w:bCs/>
        </w:rPr>
      </w:pPr>
      <w:r w:rsidRPr="00AB4821">
        <w:rPr>
          <w:rFonts w:cstheme="minorHAnsi"/>
          <w:b/>
          <w:bCs/>
        </w:rPr>
        <w:t>Kable</w:t>
      </w:r>
    </w:p>
    <w:p w:rsidR="00AB4821" w:rsidRPr="00AB4821" w:rsidRDefault="007F6EF6" w:rsidP="00AB4821">
      <w:pPr>
        <w:autoSpaceDE w:val="0"/>
        <w:autoSpaceDN w:val="0"/>
        <w:adjustRightInd w:val="0"/>
        <w:spacing w:after="0" w:line="240" w:lineRule="auto"/>
        <w:jc w:val="both"/>
        <w:rPr>
          <w:rFonts w:eastAsia="TimesNewRoman" w:cstheme="minorHAnsi"/>
        </w:rPr>
      </w:pPr>
      <w:r>
        <w:rPr>
          <w:rFonts w:eastAsia="TimesNewRoman" w:cstheme="minorHAnsi"/>
        </w:rPr>
        <w:t>W</w:t>
      </w:r>
      <w:r w:rsidR="00AB4821" w:rsidRPr="00AB4821">
        <w:rPr>
          <w:rFonts w:eastAsia="TimesNewRoman" w:cstheme="minorHAnsi"/>
        </w:rPr>
        <w:t xml:space="preserve"> kablowych liniach oświetleniowych nale</w:t>
      </w:r>
      <w:r>
        <w:rPr>
          <w:rFonts w:eastAsia="TimesNewRoman" w:cstheme="minorHAnsi"/>
        </w:rPr>
        <w:t>ży stosować kabel YKY 5x16 mm2</w:t>
      </w:r>
      <w:r w:rsidR="00AB4821" w:rsidRPr="00AB4821">
        <w:rPr>
          <w:rFonts w:eastAsia="TimesNewRoman" w:cstheme="minorHAnsi"/>
        </w:rPr>
        <w:t xml:space="preserve">,  kable o napięciu znamionowym do 1 </w:t>
      </w:r>
      <w:proofErr w:type="spellStart"/>
      <w:r w:rsidR="00AB4821" w:rsidRPr="00AB4821">
        <w:rPr>
          <w:rFonts w:eastAsia="TimesNewRoman" w:cstheme="minorHAnsi"/>
        </w:rPr>
        <w:t>kV</w:t>
      </w:r>
      <w:proofErr w:type="spellEnd"/>
      <w:r w:rsidR="00AB4821" w:rsidRPr="00AB4821">
        <w:rPr>
          <w:rFonts w:eastAsia="TimesNewRoman" w:cstheme="minorHAnsi"/>
        </w:rPr>
        <w:t xml:space="preserve">. Przekrój żył kabli powinien być dobrany w zależności od dopuszczalnego spadku napięcia i dopuszczalnej temperatury nagrzania kabla przez prądy robocze i zwarciowe oraz powinien spełniać wymagania skuteczności zerowania w instalacjach zerowanych. Bębny z kablami należy przechowywać w pomieszczeniach pokrytych dachem, na utwardzonym podłożu. Kable we wnękach słupowych oraz w szafkach sterowniczych należy trwale opisać podając rodzaj kabla, kierunek. </w:t>
      </w:r>
    </w:p>
    <w:p w:rsidR="00AB4821" w:rsidRPr="00AB4821" w:rsidRDefault="00AB4821" w:rsidP="00AB4821">
      <w:pPr>
        <w:autoSpaceDE w:val="0"/>
        <w:autoSpaceDN w:val="0"/>
        <w:adjustRightInd w:val="0"/>
        <w:spacing w:after="0" w:line="240" w:lineRule="auto"/>
        <w:rPr>
          <w:rFonts w:eastAsia="TimesNewRoman" w:cstheme="minorHAnsi"/>
        </w:rPr>
      </w:pPr>
    </w:p>
    <w:p w:rsidR="00AB4821" w:rsidRPr="00AB4821" w:rsidRDefault="00AB4821" w:rsidP="00AB4821">
      <w:pPr>
        <w:autoSpaceDE w:val="0"/>
        <w:autoSpaceDN w:val="0"/>
        <w:adjustRightInd w:val="0"/>
        <w:spacing w:line="240" w:lineRule="auto"/>
        <w:rPr>
          <w:rFonts w:cstheme="minorHAnsi"/>
          <w:b/>
          <w:bCs/>
        </w:rPr>
      </w:pPr>
      <w:r w:rsidRPr="00AB4821">
        <w:rPr>
          <w:rFonts w:cstheme="minorHAnsi"/>
          <w:b/>
          <w:bCs/>
        </w:rPr>
        <w:t>Przepusty kablowe</w:t>
      </w:r>
      <w:r>
        <w:rPr>
          <w:rFonts w:cstheme="minorHAnsi"/>
          <w:b/>
          <w:bCs/>
        </w:rPr>
        <w:br/>
      </w:r>
      <w:r w:rsidRPr="00AB4821">
        <w:rPr>
          <w:rFonts w:eastAsia="TimesNewRoman" w:cstheme="minorHAnsi"/>
        </w:rPr>
        <w:t xml:space="preserve">Przepusty kablowe powinny być wykonane z materiałów niepalnych, z tworzyw sztucznych lub stali, wytrzymałych mechanicznie, chemicznie i odpornych na działanie łuku elektrycznego. Rury używane do </w:t>
      </w:r>
      <w:r w:rsidRPr="00AB4821">
        <w:rPr>
          <w:rFonts w:eastAsia="TimesNewRoman" w:cstheme="minorHAnsi"/>
        </w:rPr>
        <w:lastRenderedPageBreak/>
        <w:t xml:space="preserve">wykonania przepustów powinny być dostatecznie wytrzymałe na działające na nie obciążenia. Wnętrza ścianek powinny być gładkie lub powleczone warstwą wygładzającą ich powierzchnie dla ułatwienia przesuwania się kabli. Na przepusty kablowe dokumentacja projektowa przewiduje zastosowanie osłon rurowych wykonanych z polipropylenu o dużej gęstości (HDPE) np. produkcji </w:t>
      </w:r>
      <w:proofErr w:type="spellStart"/>
      <w:r w:rsidRPr="00AB4821">
        <w:rPr>
          <w:rFonts w:eastAsia="TimesNewRoman" w:cstheme="minorHAnsi"/>
        </w:rPr>
        <w:t>Arot</w:t>
      </w:r>
      <w:proofErr w:type="spellEnd"/>
      <w:r w:rsidRPr="00AB4821">
        <w:rPr>
          <w:rFonts w:eastAsia="TimesNewRoman" w:cstheme="minorHAnsi"/>
        </w:rPr>
        <w:t>. Rury na przepusty kablowe należy przechowywać na utwardzonym placu, w nienasłonecznionych miejscach zabezpieczonych przed ich uszkodzeniem.</w:t>
      </w:r>
    </w:p>
    <w:p w:rsidR="00AB4821" w:rsidRPr="00AB4821" w:rsidRDefault="00AB4821" w:rsidP="00AB4821">
      <w:pPr>
        <w:keepNext/>
        <w:keepLines/>
        <w:spacing w:before="360" w:after="0" w:line="240" w:lineRule="auto"/>
        <w:jc w:val="both"/>
        <w:outlineLvl w:val="0"/>
        <w:rPr>
          <w:rFonts w:eastAsiaTheme="majorEastAsia" w:cstheme="minorHAnsi"/>
          <w:b/>
          <w:bCs/>
          <w:lang w:eastAsia="pl-PL"/>
        </w:rPr>
      </w:pPr>
      <w:r w:rsidRPr="00AB4821">
        <w:rPr>
          <w:rFonts w:eastAsiaTheme="majorEastAsia" w:cstheme="minorHAnsi"/>
          <w:b/>
          <w:bCs/>
          <w:lang w:eastAsia="pl-PL"/>
        </w:rPr>
        <w:t>Należy stosować oprawy oświetlenia ulicznego o parametrach nie gorszych niż opisane poniżej:</w:t>
      </w:r>
    </w:p>
    <w:p w:rsidR="00AB4821" w:rsidRPr="00AB4821" w:rsidRDefault="00AB4821" w:rsidP="00AB4821">
      <w:pPr>
        <w:numPr>
          <w:ilvl w:val="0"/>
          <w:numId w:val="29"/>
        </w:numPr>
        <w:tabs>
          <w:tab w:val="left" w:pos="426"/>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 xml:space="preserve">Oprawa wyposażona w panel z diodami LED który w razie uszkodzenia można wymienić bez konieczności wymiany całej oprawy, (oprawa dwukomorowa, termiczne rozdzielenie pomiędzy układem zasilającym, a układem optycznym). </w:t>
      </w:r>
    </w:p>
    <w:p w:rsidR="00AB4821" w:rsidRPr="00AB4821" w:rsidRDefault="00AB4821" w:rsidP="00AB4821">
      <w:pPr>
        <w:numPr>
          <w:ilvl w:val="0"/>
          <w:numId w:val="29"/>
        </w:numPr>
        <w:tabs>
          <w:tab w:val="left" w:pos="426"/>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 xml:space="preserve">Panel LED wyposażony w kostkę przyłączeniową, która w razie jego awarii umożliwi jego szybką wymianę. </w:t>
      </w:r>
    </w:p>
    <w:p w:rsidR="00AB4821" w:rsidRPr="00AB4821" w:rsidRDefault="00AB4821" w:rsidP="00AB4821">
      <w:pPr>
        <w:numPr>
          <w:ilvl w:val="0"/>
          <w:numId w:val="29"/>
        </w:numPr>
        <w:tabs>
          <w:tab w:val="left" w:pos="426"/>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 xml:space="preserve">Panel LED powinien stanowić integralną całość i nie może być rozczłonkowany na pojedyncze moduły połączone ze sobą połączeniami lutowanymi. </w:t>
      </w:r>
    </w:p>
    <w:p w:rsidR="00AB4821" w:rsidRPr="00AB4821" w:rsidRDefault="00AB4821" w:rsidP="00AB4821">
      <w:pPr>
        <w:numPr>
          <w:ilvl w:val="0"/>
          <w:numId w:val="29"/>
        </w:numPr>
        <w:tabs>
          <w:tab w:val="left" w:pos="426"/>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Każda dioda na panelu LED powinna posiadać indywidualny element optyczny o takiej samej charakterystyce, żeby w przypadku przepalenia się którejś z diod zmienił się jedynie strumień świetlny emitowany przez oprawę a nie jej rozsył światła (powinna być zachowana równomierność oświetlenia na całej powierzchni oświetlanej drogi).</w:t>
      </w:r>
    </w:p>
    <w:p w:rsidR="00AB4821" w:rsidRPr="00AB4821" w:rsidRDefault="00AB4821" w:rsidP="00AB4821">
      <w:pPr>
        <w:numPr>
          <w:ilvl w:val="0"/>
          <w:numId w:val="29"/>
        </w:numPr>
        <w:tabs>
          <w:tab w:val="left" w:pos="426"/>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 xml:space="preserve">Oprawa musi być odporna na przepięcia o wartości minimum 10 </w:t>
      </w:r>
      <w:proofErr w:type="spellStart"/>
      <w:r w:rsidRPr="00AB4821">
        <w:rPr>
          <w:rFonts w:eastAsiaTheme="minorEastAsia" w:cstheme="minorHAnsi"/>
          <w:color w:val="000000" w:themeColor="text1"/>
          <w:lang w:eastAsia="pl-PL"/>
        </w:rPr>
        <w:t>kV</w:t>
      </w:r>
      <w:proofErr w:type="spellEnd"/>
      <w:r w:rsidRPr="00AB4821">
        <w:rPr>
          <w:rFonts w:eastAsiaTheme="minorEastAsia" w:cstheme="minorHAnsi"/>
          <w:color w:val="000000" w:themeColor="text1"/>
          <w:lang w:eastAsia="pl-PL"/>
        </w:rPr>
        <w:t>.</w:t>
      </w:r>
    </w:p>
    <w:p w:rsidR="00AB4821" w:rsidRPr="00AB4821" w:rsidRDefault="00AB4821" w:rsidP="00AB4821">
      <w:pPr>
        <w:numPr>
          <w:ilvl w:val="0"/>
          <w:numId w:val="29"/>
        </w:numPr>
        <w:tabs>
          <w:tab w:val="left" w:pos="426"/>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Stopień ochrony przed wnikaniem pyłu i wody nie mniejszy niż IP 66 zgodnie z normami IEC/EN 60598-1 i IEC 60529. Wymagane jest potwierdzenie szczelności w certyfikacie ENEC oraz raport z badań szczelności pochodzący z akredytowanego laboratorium.</w:t>
      </w:r>
    </w:p>
    <w:p w:rsidR="00AB4821" w:rsidRPr="00AB4821" w:rsidRDefault="00AB4821" w:rsidP="00AB4821">
      <w:pPr>
        <w:numPr>
          <w:ilvl w:val="0"/>
          <w:numId w:val="29"/>
        </w:numPr>
        <w:tabs>
          <w:tab w:val="left" w:pos="426"/>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Korpus oprawy wykonany z ciśnieniowego odlewu aluminium.</w:t>
      </w:r>
    </w:p>
    <w:p w:rsidR="00AB4821" w:rsidRPr="00AB4821" w:rsidRDefault="00AB4821" w:rsidP="00AB4821">
      <w:pPr>
        <w:numPr>
          <w:ilvl w:val="0"/>
          <w:numId w:val="29"/>
        </w:numPr>
        <w:tabs>
          <w:tab w:val="left" w:pos="426"/>
        </w:tabs>
        <w:spacing w:after="200" w:line="276"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Wnętrze komory optycznej, komory elektrycznej oraz elementy oprawy (np. pokrywa, uchwyt montażowy) zabezpieczone przed korozją powłoką lakierniczą. Nie dopuszcza się surowego materiału</w:t>
      </w:r>
    </w:p>
    <w:p w:rsidR="00AB4821" w:rsidRPr="00AB4821" w:rsidRDefault="00AB4821" w:rsidP="00AB4821">
      <w:pPr>
        <w:numPr>
          <w:ilvl w:val="0"/>
          <w:numId w:val="29"/>
        </w:numPr>
        <w:tabs>
          <w:tab w:val="left" w:pos="426"/>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Klosz oprawy wykonany z płaskiego, hartowanego szkła o odporności na uderzenia min. IK09 zgodnie z normami IEC 62262, IEC 60068-2-75 o udarze 10J. Wymagane jest potwierdzenie szczelności w certyfikacie ENEC oraz raport z badań pochodzący z akredytowanego laboratorium.</w:t>
      </w:r>
    </w:p>
    <w:p w:rsidR="00AB4821" w:rsidRPr="00AB4821" w:rsidRDefault="00AB4821" w:rsidP="00AB4821">
      <w:pPr>
        <w:numPr>
          <w:ilvl w:val="0"/>
          <w:numId w:val="29"/>
        </w:numPr>
        <w:tabs>
          <w:tab w:val="left" w:pos="426"/>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Oprawa musi posiadać ruchomy uchwyt montażowy, umożliwiający regulację kąta nachylenia oprawy minimum w zakresie od  0° do 30° (montaż bezpośredni) oraz od -45° do 30° (montaż na wysięgniku) z krokiem minimum co 5</w:t>
      </w:r>
      <w:r w:rsidRPr="00AB4821">
        <w:rPr>
          <w:rFonts w:eastAsiaTheme="minorEastAsia" w:cstheme="minorHAnsi"/>
          <w:color w:val="000000" w:themeColor="text1"/>
          <w:vertAlign w:val="superscript"/>
          <w:lang w:eastAsia="pl-PL"/>
        </w:rPr>
        <w:t>0</w:t>
      </w:r>
      <w:r w:rsidRPr="00AB4821">
        <w:rPr>
          <w:rFonts w:eastAsiaTheme="minorEastAsia" w:cstheme="minorHAnsi"/>
          <w:color w:val="000000" w:themeColor="text1"/>
          <w:lang w:eastAsia="pl-PL"/>
        </w:rPr>
        <w:t xml:space="preserve"> przy montażu na wysięgniku. Zmiana sposobu montażu odbywa się bez konieczności zdejmowania oprawy (odseparowania uchwytu od korpusu).</w:t>
      </w:r>
    </w:p>
    <w:p w:rsidR="00AB4821" w:rsidRPr="00AB4821" w:rsidRDefault="00AB4821" w:rsidP="00AB4821">
      <w:pPr>
        <w:numPr>
          <w:ilvl w:val="0"/>
          <w:numId w:val="29"/>
        </w:numPr>
        <w:tabs>
          <w:tab w:val="left" w:pos="426"/>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Zintegrowany z oprawą zaczep montażowy musi umożliwić montaż na wysięgniku lub słupie o średnicy od 48mm do 60 mm.</w:t>
      </w:r>
    </w:p>
    <w:p w:rsidR="00AB4821" w:rsidRPr="00AB4821" w:rsidRDefault="00AB4821" w:rsidP="00AB4821">
      <w:pPr>
        <w:numPr>
          <w:ilvl w:val="0"/>
          <w:numId w:val="29"/>
        </w:numPr>
        <w:tabs>
          <w:tab w:val="left" w:pos="426"/>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Oprawa (wraz z uchwytem) musi spełniać wymogi dotyczące wibracji ANSI C136-31 3G lub IEC 60068-2-6. Wymagany jest raport z badań pochodzący z akredytowanego laboratorium</w:t>
      </w:r>
    </w:p>
    <w:p w:rsidR="00AB4821" w:rsidRPr="00AB4821" w:rsidRDefault="00AB4821" w:rsidP="00AB4821">
      <w:pPr>
        <w:numPr>
          <w:ilvl w:val="0"/>
          <w:numId w:val="29"/>
        </w:numPr>
        <w:tabs>
          <w:tab w:val="left" w:pos="426"/>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Dostęp do komory osprzętu elektrycznego odbywa się bez użycia narzędzi. Nie dopuszcza się stosowania śrub typu „motylek” i podobnych ze względu na brak możliwości jednoznacznego zdefiniowania prawidłowości ich zamknięcia (moment dokręcania).</w:t>
      </w:r>
    </w:p>
    <w:p w:rsidR="00AB4821" w:rsidRPr="00AB4821" w:rsidRDefault="00AB4821" w:rsidP="00AB4821">
      <w:pPr>
        <w:numPr>
          <w:ilvl w:val="0"/>
          <w:numId w:val="29"/>
        </w:numPr>
        <w:tabs>
          <w:tab w:val="left" w:pos="426"/>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Elementy mocujące oprawę na słupie, wysięgniku (śruby, podkładki) oraz klamry/zatrzaski zamykające muszą być wykonane ze stali nierdzewnej.</w:t>
      </w:r>
    </w:p>
    <w:p w:rsidR="00AB4821" w:rsidRPr="00AB4821" w:rsidRDefault="00AB4821" w:rsidP="00AB4821">
      <w:pPr>
        <w:numPr>
          <w:ilvl w:val="0"/>
          <w:numId w:val="29"/>
        </w:numPr>
        <w:tabs>
          <w:tab w:val="left" w:pos="426"/>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Oprawa wyposażona w system regulacji ciśnienia wewnątrz oprawy, zapobiegający zjawisku kondensacji pary wodnej w komorze elektrycznej</w:t>
      </w:r>
    </w:p>
    <w:p w:rsidR="00AB4821" w:rsidRPr="00AB4821" w:rsidRDefault="00AB4821" w:rsidP="00AB4821">
      <w:pPr>
        <w:numPr>
          <w:ilvl w:val="0"/>
          <w:numId w:val="29"/>
        </w:numPr>
        <w:tabs>
          <w:tab w:val="left" w:pos="426"/>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Temperatura barwowa 4000K +/- 5%.</w:t>
      </w:r>
    </w:p>
    <w:p w:rsidR="00AB4821" w:rsidRPr="00AB4821" w:rsidRDefault="00AB4821" w:rsidP="00AB4821">
      <w:pPr>
        <w:numPr>
          <w:ilvl w:val="0"/>
          <w:numId w:val="29"/>
        </w:numPr>
        <w:tabs>
          <w:tab w:val="left" w:pos="426"/>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Wskaźnik oddawania barw Ra nie mniejszy niż 70.</w:t>
      </w:r>
    </w:p>
    <w:p w:rsidR="00AB4821" w:rsidRPr="00AB4821" w:rsidRDefault="00AB4821" w:rsidP="00AB4821">
      <w:pPr>
        <w:numPr>
          <w:ilvl w:val="0"/>
          <w:numId w:val="29"/>
        </w:numPr>
        <w:tabs>
          <w:tab w:val="left" w:pos="426"/>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Współczynnik mocy &gt;0,95 (przy maksymalnym obciążeniu zasilacza).</w:t>
      </w:r>
    </w:p>
    <w:p w:rsidR="00AB4821" w:rsidRPr="00AB4821" w:rsidRDefault="00AB4821" w:rsidP="00AB4821">
      <w:pPr>
        <w:numPr>
          <w:ilvl w:val="0"/>
          <w:numId w:val="29"/>
        </w:numPr>
        <w:tabs>
          <w:tab w:val="left" w:pos="426"/>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Oprawy wykonane w II klasie ochronności.</w:t>
      </w:r>
    </w:p>
    <w:p w:rsidR="00AB4821" w:rsidRPr="00AB4821" w:rsidRDefault="00AB4821" w:rsidP="00AB4821">
      <w:pPr>
        <w:numPr>
          <w:ilvl w:val="0"/>
          <w:numId w:val="29"/>
        </w:numPr>
        <w:tabs>
          <w:tab w:val="left" w:pos="426"/>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 xml:space="preserve">Oprawa powinna posiadać deklaracje zgodności CE oraz certyfikat ENEC i ENEC+ (Oprawa musi posiadać aktualny certyfikat akredytowanego ośrodka badawczego potwierdzający wykonanie wyrobu zgodnie z Normami zharmonizowanymi z Dyrektywą LVD (PN-EN 60598-1/PN-EN 60598-2-3) oraz zachowanie reżimów produkcji i jej powtarzalności, zgodnie z Typem 5 wg ISO/IEC 17067. Certyfikat musi zawierać adres fabryki  - certyfikat ENEC. Oprawa musi posiadać aktualny certyfikat </w:t>
      </w:r>
      <w:r w:rsidRPr="00AB4821">
        <w:rPr>
          <w:rFonts w:eastAsiaTheme="minorEastAsia" w:cstheme="minorHAnsi"/>
          <w:color w:val="000000" w:themeColor="text1"/>
          <w:lang w:eastAsia="pl-PL"/>
        </w:rPr>
        <w:lastRenderedPageBreak/>
        <w:t>akredytowanego ośrodka badawczego potwierdzający wiarygodność podawanych  przez producenta parametrów funkcjonalnych deklarowanych w momencie wprowadzenia wyrobu do obrotu, takich jak: napięcie zasilania, klasa ochronności elektrycznej, pobierana moc, skuteczność świetlna, temperatura barwowa,  strumień świetlny - certyfikat ENEC+</w:t>
      </w:r>
    </w:p>
    <w:p w:rsidR="00AB4821" w:rsidRPr="00AB4821" w:rsidRDefault="00AB4821" w:rsidP="00AB4821">
      <w:pPr>
        <w:numPr>
          <w:ilvl w:val="0"/>
          <w:numId w:val="29"/>
        </w:numPr>
        <w:tabs>
          <w:tab w:val="left" w:pos="426"/>
        </w:tabs>
        <w:spacing w:after="200" w:line="276"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 xml:space="preserve">Oprawa musi posiadać certyfikat Zhaga-D4i, publikowany na oficjalnej stronie ZHAGA </w:t>
      </w:r>
      <w:proofErr w:type="spellStart"/>
      <w:r w:rsidRPr="00AB4821">
        <w:rPr>
          <w:rFonts w:eastAsiaTheme="minorEastAsia" w:cstheme="minorHAnsi"/>
          <w:color w:val="000000" w:themeColor="text1"/>
          <w:lang w:eastAsia="pl-PL"/>
        </w:rPr>
        <w:t>Consortium</w:t>
      </w:r>
      <w:proofErr w:type="spellEnd"/>
    </w:p>
    <w:p w:rsidR="00AB4821" w:rsidRPr="00AB4821" w:rsidRDefault="00AB4821" w:rsidP="00AB4821">
      <w:pPr>
        <w:numPr>
          <w:ilvl w:val="0"/>
          <w:numId w:val="29"/>
        </w:numPr>
        <w:tabs>
          <w:tab w:val="left" w:pos="426"/>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 xml:space="preserve">Oprawy muszą spełniać normę PN-EN 62471:2010 Bezpieczeństwo fotobiologiczne lamp i systemów lampowych. </w:t>
      </w:r>
    </w:p>
    <w:p w:rsidR="00AB4821" w:rsidRPr="00AB4821" w:rsidRDefault="00AB4821" w:rsidP="00AB4821">
      <w:pPr>
        <w:numPr>
          <w:ilvl w:val="0"/>
          <w:numId w:val="29"/>
        </w:numPr>
        <w:tabs>
          <w:tab w:val="left" w:pos="426"/>
        </w:tabs>
        <w:spacing w:after="200" w:line="276"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 xml:space="preserve">Oprawa musi posiadać deklarację środowiskową (ang. PEP - Product </w:t>
      </w:r>
      <w:proofErr w:type="spellStart"/>
      <w:r w:rsidRPr="00AB4821">
        <w:rPr>
          <w:rFonts w:eastAsiaTheme="minorEastAsia" w:cstheme="minorHAnsi"/>
          <w:color w:val="000000" w:themeColor="text1"/>
          <w:lang w:eastAsia="pl-PL"/>
        </w:rPr>
        <w:t>Environmental</w:t>
      </w:r>
      <w:proofErr w:type="spellEnd"/>
      <w:r w:rsidRPr="00AB4821">
        <w:rPr>
          <w:rFonts w:eastAsiaTheme="minorEastAsia" w:cstheme="minorHAnsi"/>
          <w:color w:val="000000" w:themeColor="text1"/>
          <w:lang w:eastAsia="pl-PL"/>
        </w:rPr>
        <w:t xml:space="preserve"> Profile) zgodnie z ISO 14040:2006 oraz EN 15804:2012 + A2:2019, potwierdzoną przez uprawnioną jednostkę badawczą</w:t>
      </w:r>
    </w:p>
    <w:p w:rsidR="00AB4821" w:rsidRPr="00AB4821" w:rsidRDefault="00AB4821" w:rsidP="00AB4821">
      <w:pPr>
        <w:numPr>
          <w:ilvl w:val="0"/>
          <w:numId w:val="29"/>
        </w:numPr>
        <w:tabs>
          <w:tab w:val="left" w:pos="426"/>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Trwałość strumienia światła oprawy mierzona parametrem L90B10 dla temperatury TC = 105°C min. 100 000h (zgodnie z IES LM-80 TM-21).</w:t>
      </w:r>
    </w:p>
    <w:p w:rsidR="00AB4821" w:rsidRPr="00AB4821" w:rsidRDefault="00AB4821" w:rsidP="00AB4821">
      <w:pPr>
        <w:numPr>
          <w:ilvl w:val="0"/>
          <w:numId w:val="29"/>
        </w:numPr>
        <w:tabs>
          <w:tab w:val="left" w:pos="426"/>
        </w:tabs>
        <w:spacing w:after="200" w:line="276"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Wartości wskaźnika udziału światła wysyłanego ku górze (ULOR) nie większa niż określona w Rozporządzeniu WE nr 245/2009</w:t>
      </w:r>
    </w:p>
    <w:p w:rsidR="00AB4821" w:rsidRPr="00AB4821" w:rsidRDefault="00AB4821" w:rsidP="00AB4821">
      <w:pPr>
        <w:numPr>
          <w:ilvl w:val="0"/>
          <w:numId w:val="29"/>
        </w:numPr>
        <w:tabs>
          <w:tab w:val="left" w:pos="426"/>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Zakres temperatur pracy od -30</w:t>
      </w:r>
      <w:r w:rsidRPr="00AB4821">
        <w:rPr>
          <w:rFonts w:eastAsiaTheme="minorEastAsia" w:cstheme="minorHAnsi"/>
          <w:color w:val="000000" w:themeColor="text1"/>
          <w:vertAlign w:val="superscript"/>
          <w:lang w:eastAsia="pl-PL"/>
        </w:rPr>
        <w:t>0</w:t>
      </w:r>
      <w:r w:rsidRPr="00AB4821">
        <w:rPr>
          <w:rFonts w:eastAsiaTheme="minorEastAsia" w:cstheme="minorHAnsi"/>
          <w:color w:val="000000" w:themeColor="text1"/>
          <w:lang w:eastAsia="pl-PL"/>
        </w:rPr>
        <w:t xml:space="preserve"> do + 50</w:t>
      </w:r>
      <w:r w:rsidRPr="00AB4821">
        <w:rPr>
          <w:rFonts w:eastAsiaTheme="minorEastAsia" w:cstheme="minorHAnsi"/>
          <w:color w:val="000000" w:themeColor="text1"/>
          <w:vertAlign w:val="superscript"/>
          <w:lang w:eastAsia="pl-PL"/>
        </w:rPr>
        <w:t>0</w:t>
      </w:r>
      <w:r w:rsidRPr="00AB4821">
        <w:rPr>
          <w:rFonts w:eastAsiaTheme="minorEastAsia" w:cstheme="minorHAnsi"/>
          <w:color w:val="000000" w:themeColor="text1"/>
          <w:lang w:eastAsia="pl-PL"/>
        </w:rPr>
        <w:t>C.</w:t>
      </w:r>
    </w:p>
    <w:p w:rsidR="00AB4821" w:rsidRPr="00AB4821" w:rsidRDefault="00AB4821" w:rsidP="00AB4821">
      <w:pPr>
        <w:numPr>
          <w:ilvl w:val="0"/>
          <w:numId w:val="29"/>
        </w:numPr>
        <w:tabs>
          <w:tab w:val="left" w:pos="426"/>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Skuteczność świetlna oprawy (stosunek strumienia świetlnego wychodzącego z oprawy do mocy całkowitej oprawy) nie mniejsza niż 140lm/W.</w:t>
      </w:r>
    </w:p>
    <w:p w:rsidR="00AB4821" w:rsidRPr="00AB4821" w:rsidRDefault="00AB4821" w:rsidP="00AB4821">
      <w:pPr>
        <w:numPr>
          <w:ilvl w:val="0"/>
          <w:numId w:val="29"/>
        </w:numPr>
        <w:tabs>
          <w:tab w:val="left" w:pos="426"/>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Oprawy muszą posiadać elektroniczny układ zasilający umożliwiający dowolną redukcję mocy w dowolnych odcinkach czasowych, (wyspecyfikowana przez zamawiającego po podpisaniu umowy).</w:t>
      </w:r>
    </w:p>
    <w:p w:rsidR="00AB4821" w:rsidRPr="00AB4821" w:rsidRDefault="00AB4821" w:rsidP="00AB4821">
      <w:pPr>
        <w:numPr>
          <w:ilvl w:val="0"/>
          <w:numId w:val="29"/>
        </w:numPr>
        <w:tabs>
          <w:tab w:val="left" w:pos="851"/>
          <w:tab w:val="num" w:pos="1134"/>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Oprawa powinna być zgodna z systemem do zarządzania oświetleniem ulicznym zainstalowanym na terenie Gminy Juchnowiec Kościelny. System sterowania jest systemem, który nie wymaga stosowania dodatkowych elementów wyniesionych poza oprawę w postaci HUB, sterowników centralnych, stacji bazowych, bramek itp. oraz jest oparty na otwartych standardach we wszystkich warstwach systemu w celu uniknięcia uzależnienia JST od jednego dostawcy. System sterowania spełnia otwarte, niezastrzeżone protokoły i standardy, w tym szczególnie:</w:t>
      </w:r>
    </w:p>
    <w:p w:rsidR="00AB4821" w:rsidRPr="00AB4821" w:rsidRDefault="00AB4821" w:rsidP="00AB4821">
      <w:pPr>
        <w:numPr>
          <w:ilvl w:val="0"/>
          <w:numId w:val="30"/>
        </w:numPr>
        <w:tabs>
          <w:tab w:val="left" w:pos="851"/>
          <w:tab w:val="num" w:pos="1134"/>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 xml:space="preserve">Niskonapięciowe gniazdo </w:t>
      </w:r>
      <w:proofErr w:type="spellStart"/>
      <w:r w:rsidRPr="00AB4821">
        <w:rPr>
          <w:rFonts w:eastAsiaTheme="minorEastAsia" w:cstheme="minorHAnsi"/>
          <w:color w:val="000000" w:themeColor="text1"/>
          <w:lang w:eastAsia="pl-PL"/>
        </w:rPr>
        <w:t>Zhaga</w:t>
      </w:r>
      <w:proofErr w:type="spellEnd"/>
      <w:r w:rsidRPr="00AB4821">
        <w:rPr>
          <w:rFonts w:eastAsiaTheme="minorEastAsia" w:cstheme="minorHAnsi"/>
          <w:color w:val="000000" w:themeColor="text1"/>
          <w:lang w:eastAsia="pl-PL"/>
        </w:rPr>
        <w:t xml:space="preserve"> (zgodne z certyfikacją D4i);</w:t>
      </w:r>
    </w:p>
    <w:p w:rsidR="00AB4821" w:rsidRPr="00AB4821" w:rsidRDefault="00AB4821" w:rsidP="00AB4821">
      <w:pPr>
        <w:numPr>
          <w:ilvl w:val="0"/>
          <w:numId w:val="30"/>
        </w:numPr>
        <w:tabs>
          <w:tab w:val="left" w:pos="851"/>
          <w:tab w:val="num" w:pos="1134"/>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Interfejs API zgodnie z protokołem TALQ lub równoważnym pod warunkiem wskazania programu i procedury certyfikacji;</w:t>
      </w:r>
    </w:p>
    <w:p w:rsidR="00AB4821" w:rsidRPr="00AB4821" w:rsidRDefault="00AB4821" w:rsidP="00AB4821">
      <w:pPr>
        <w:numPr>
          <w:ilvl w:val="0"/>
          <w:numId w:val="30"/>
        </w:numPr>
        <w:tabs>
          <w:tab w:val="left" w:pos="851"/>
          <w:tab w:val="num" w:pos="1134"/>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Zdalny nadzór przez sieć internetową z poziomu przeglądarki internetowej – bez konieczności instalowania dodatkowego oprogramowania. Dostęp do interfejsu użytkownika jest możliwy z dowolnego urządzenia wyposażonego w dostęp do Internetu i przeglądarkę internetową. Dostęp jest zabezpieczony hasłem.</w:t>
      </w:r>
    </w:p>
    <w:p w:rsidR="00AB4821" w:rsidRPr="00AB4821" w:rsidRDefault="00AB4821" w:rsidP="00AB4821">
      <w:pPr>
        <w:numPr>
          <w:ilvl w:val="0"/>
          <w:numId w:val="30"/>
        </w:numPr>
        <w:tabs>
          <w:tab w:val="left" w:pos="851"/>
          <w:tab w:val="num" w:pos="1134"/>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Załączanie i wyłączanie pojedynczej oprawy lub grupy opraw</w:t>
      </w:r>
    </w:p>
    <w:p w:rsidR="00AB4821" w:rsidRPr="00AB4821" w:rsidRDefault="00AB4821" w:rsidP="00AB4821">
      <w:pPr>
        <w:numPr>
          <w:ilvl w:val="0"/>
          <w:numId w:val="30"/>
        </w:numPr>
        <w:tabs>
          <w:tab w:val="left" w:pos="851"/>
          <w:tab w:val="num" w:pos="1134"/>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Graficzny interfejs w postaci strony internetowej wraz z mapą, na której za pomocą ikon reprezentowane są wszystkie punkty należące do systemu</w:t>
      </w:r>
    </w:p>
    <w:p w:rsidR="00AB4821" w:rsidRPr="00AB4821" w:rsidRDefault="00AB4821" w:rsidP="00AB4821">
      <w:pPr>
        <w:numPr>
          <w:ilvl w:val="0"/>
          <w:numId w:val="30"/>
        </w:numPr>
        <w:tabs>
          <w:tab w:val="left" w:pos="851"/>
          <w:tab w:val="num" w:pos="1134"/>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Możliwość ręcznego ustawienia poziomu świecenia lub zdalnego wyłączenia oprawy (lub grupy opraw) na określony czas;</w:t>
      </w:r>
    </w:p>
    <w:p w:rsidR="00AB4821" w:rsidRPr="00AB4821" w:rsidRDefault="00AB4821" w:rsidP="00AB4821">
      <w:pPr>
        <w:numPr>
          <w:ilvl w:val="0"/>
          <w:numId w:val="30"/>
        </w:numPr>
        <w:tabs>
          <w:tab w:val="left" w:pos="851"/>
          <w:tab w:val="num" w:pos="1134"/>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Możliwość przypisania każdemu pojedynczemu punktowi świetlnemu lub grupie opraw wskazanej na mapie przez Użytkownika, indywidualnej charakterystyki redukcji mocy i ich zmiany w dowolnym momencie</w:t>
      </w:r>
    </w:p>
    <w:p w:rsidR="00AB4821" w:rsidRPr="00AB4821" w:rsidRDefault="00AB4821" w:rsidP="00AB4821">
      <w:pPr>
        <w:numPr>
          <w:ilvl w:val="0"/>
          <w:numId w:val="30"/>
        </w:numPr>
        <w:tabs>
          <w:tab w:val="left" w:pos="851"/>
          <w:tab w:val="num" w:pos="1134"/>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Pomiar/odczyt prądu, napięcia, mocy, współczynnika mocy, czasu pracy źródła światła dla pojedynczego punktu świetlnego</w:t>
      </w:r>
    </w:p>
    <w:p w:rsidR="00AB4821" w:rsidRPr="00AB4821" w:rsidRDefault="00AB4821" w:rsidP="00AB4821">
      <w:pPr>
        <w:numPr>
          <w:ilvl w:val="0"/>
          <w:numId w:val="30"/>
        </w:numPr>
        <w:tabs>
          <w:tab w:val="left" w:pos="851"/>
          <w:tab w:val="num" w:pos="1134"/>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 xml:space="preserve">Sygnalizowanie uszkodzeń pojedynczych opraw </w:t>
      </w:r>
    </w:p>
    <w:p w:rsidR="00AB4821" w:rsidRPr="00AB4821" w:rsidRDefault="00AB4821" w:rsidP="00AB4821">
      <w:pPr>
        <w:numPr>
          <w:ilvl w:val="0"/>
          <w:numId w:val="30"/>
        </w:numPr>
        <w:tabs>
          <w:tab w:val="left" w:pos="851"/>
          <w:tab w:val="num" w:pos="1134"/>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Generowanie raportów zużycia energii dla pojedynczej oprawy lub grupy opraw dla zdefiniowanego przez użytkownika obszaru na mapie oraz raportów błędów</w:t>
      </w:r>
    </w:p>
    <w:p w:rsidR="00AB4821" w:rsidRPr="00AB4821" w:rsidRDefault="00AB4821" w:rsidP="00AB4821">
      <w:pPr>
        <w:numPr>
          <w:ilvl w:val="0"/>
          <w:numId w:val="30"/>
        </w:numPr>
        <w:tabs>
          <w:tab w:val="left" w:pos="851"/>
          <w:tab w:val="num" w:pos="1134"/>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Dodawanie nowych punktów świetlnych bez konieczności przebudowy istniejącej instalacji (np. prowadzenia dodatkowych przewodów, łączenia obwodów itp.)</w:t>
      </w:r>
    </w:p>
    <w:p w:rsidR="00AB4821" w:rsidRPr="00AB4821" w:rsidRDefault="00AB4821" w:rsidP="00AB4821">
      <w:pPr>
        <w:numPr>
          <w:ilvl w:val="0"/>
          <w:numId w:val="30"/>
        </w:numPr>
        <w:tabs>
          <w:tab w:val="left" w:pos="851"/>
          <w:tab w:val="num" w:pos="1134"/>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 xml:space="preserve">Tworzenie kont użytkowników z różnymi poziomami dostępu </w:t>
      </w:r>
    </w:p>
    <w:p w:rsidR="00AB4821" w:rsidRPr="00AB4821" w:rsidRDefault="00AB4821" w:rsidP="00AB4821">
      <w:pPr>
        <w:numPr>
          <w:ilvl w:val="0"/>
          <w:numId w:val="30"/>
        </w:numPr>
        <w:tabs>
          <w:tab w:val="left" w:pos="851"/>
          <w:tab w:val="num" w:pos="1134"/>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 xml:space="preserve">Wszystkie elementy oferowanego systemu sterowania tj. CMS oraz Gateway muszą być zgodne z certyfikacją TALQ, lista certyfikowanych funkcji dostępna na oficjalnej stronie Konsorcjum TALQ: https://www.talq-consortium.org </w:t>
      </w:r>
    </w:p>
    <w:p w:rsidR="00AB4821" w:rsidRPr="00AB4821" w:rsidRDefault="00AB4821" w:rsidP="00AB4821">
      <w:pPr>
        <w:numPr>
          <w:ilvl w:val="0"/>
          <w:numId w:val="30"/>
        </w:numPr>
        <w:tabs>
          <w:tab w:val="left" w:pos="851"/>
          <w:tab w:val="num" w:pos="1134"/>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 xml:space="preserve">Komunikacja musi opierać się na otwartym modelu danych np. </w:t>
      </w:r>
      <w:proofErr w:type="spellStart"/>
      <w:r w:rsidRPr="00AB4821">
        <w:rPr>
          <w:rFonts w:eastAsiaTheme="minorEastAsia" w:cstheme="minorHAnsi"/>
          <w:color w:val="000000" w:themeColor="text1"/>
          <w:lang w:eastAsia="pl-PL"/>
        </w:rPr>
        <w:t>uCIFI</w:t>
      </w:r>
      <w:proofErr w:type="spellEnd"/>
    </w:p>
    <w:p w:rsidR="00AB4821" w:rsidRPr="00AB4821" w:rsidRDefault="00AB4821" w:rsidP="00AB4821">
      <w:pPr>
        <w:numPr>
          <w:ilvl w:val="0"/>
          <w:numId w:val="30"/>
        </w:numPr>
        <w:tabs>
          <w:tab w:val="left" w:pos="851"/>
          <w:tab w:val="num" w:pos="1134"/>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Automatyczna konfiguracja sterownika i przesłanie danych o oprawie na serwer wraz z automatycznym określeniem położenia oprawy na mapie</w:t>
      </w:r>
    </w:p>
    <w:p w:rsidR="00AB4821" w:rsidRPr="00AB4821" w:rsidRDefault="00AB4821" w:rsidP="00AB4821">
      <w:pPr>
        <w:numPr>
          <w:ilvl w:val="0"/>
          <w:numId w:val="30"/>
        </w:numPr>
        <w:tabs>
          <w:tab w:val="left" w:pos="851"/>
          <w:tab w:val="num" w:pos="1134"/>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lastRenderedPageBreak/>
        <w:t>Bezpośrednia komunikacja sterowników lub grupy sterowników z serwerem, bez urządzeń pośredniczących wyniesionych poza oprawę jak np. HUB, sterowniki centralne, stacje bazowe, bramki, itp.</w:t>
      </w:r>
    </w:p>
    <w:p w:rsidR="00AB4821" w:rsidRPr="00AB4821" w:rsidRDefault="00AB4821" w:rsidP="00AB4821">
      <w:pPr>
        <w:numPr>
          <w:ilvl w:val="0"/>
          <w:numId w:val="30"/>
        </w:numPr>
        <w:tabs>
          <w:tab w:val="left" w:pos="851"/>
          <w:tab w:val="num" w:pos="1134"/>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 xml:space="preserve">Bezpośrednia i bezprzewodowa komunikacja pomiędzy sterownikami niezależnie od sposobu ich zasilania </w:t>
      </w:r>
    </w:p>
    <w:p w:rsidR="00AB4821" w:rsidRPr="00AB4821" w:rsidRDefault="00AB4821" w:rsidP="00AB4821">
      <w:pPr>
        <w:numPr>
          <w:ilvl w:val="0"/>
          <w:numId w:val="30"/>
        </w:numPr>
        <w:tabs>
          <w:tab w:val="left" w:pos="851"/>
          <w:tab w:val="num" w:pos="1134"/>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Możliwość zdalnej konfiguracji czujników i aktywowania wybranych opraw z poziomu systemu</w:t>
      </w:r>
    </w:p>
    <w:p w:rsidR="00AB4821" w:rsidRPr="00AB4821" w:rsidRDefault="00AB4821" w:rsidP="00AB4821">
      <w:pPr>
        <w:numPr>
          <w:ilvl w:val="0"/>
          <w:numId w:val="30"/>
        </w:numPr>
        <w:tabs>
          <w:tab w:val="left" w:pos="851"/>
          <w:tab w:val="num" w:pos="1134"/>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Sterowniki muszą działać autonomicznie zgodnie z ostatnim zapamiętanym programem, mimo ewentualnej utraty łączności z systemem</w:t>
      </w:r>
    </w:p>
    <w:p w:rsidR="00AB4821" w:rsidRPr="00AB4821" w:rsidRDefault="00AB4821" w:rsidP="00AB4821">
      <w:pPr>
        <w:numPr>
          <w:ilvl w:val="0"/>
          <w:numId w:val="30"/>
        </w:numPr>
        <w:tabs>
          <w:tab w:val="left" w:pos="851"/>
          <w:tab w:val="num" w:pos="1134"/>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 xml:space="preserve">Montaż sterowników za pomocą ustandaryzowanego gniazda </w:t>
      </w:r>
      <w:proofErr w:type="spellStart"/>
      <w:r w:rsidRPr="00AB4821">
        <w:rPr>
          <w:rFonts w:eastAsiaTheme="minorEastAsia" w:cstheme="minorHAnsi"/>
          <w:color w:val="000000" w:themeColor="text1"/>
          <w:lang w:eastAsia="pl-PL"/>
        </w:rPr>
        <w:t>Zhaga</w:t>
      </w:r>
      <w:proofErr w:type="spellEnd"/>
      <w:r w:rsidRPr="00AB4821">
        <w:rPr>
          <w:rFonts w:eastAsiaTheme="minorEastAsia" w:cstheme="minorHAnsi"/>
          <w:color w:val="000000" w:themeColor="text1"/>
          <w:lang w:eastAsia="pl-PL"/>
        </w:rPr>
        <w:t xml:space="preserve"> Book18 zgodnie ze standardem ZD4i, bez konieczności ingerencji w oprawę</w:t>
      </w:r>
    </w:p>
    <w:p w:rsidR="00AB4821" w:rsidRPr="00AB4821" w:rsidRDefault="00AB4821" w:rsidP="00AB4821">
      <w:pPr>
        <w:numPr>
          <w:ilvl w:val="0"/>
          <w:numId w:val="30"/>
        </w:numPr>
        <w:tabs>
          <w:tab w:val="left" w:pos="851"/>
          <w:tab w:val="num" w:pos="1134"/>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 xml:space="preserve">Sterownik musi posiadać certyfikat Zhaga-D4i, publikowany na oficjalnej stronie ZHAGA </w:t>
      </w:r>
      <w:proofErr w:type="spellStart"/>
      <w:r w:rsidRPr="00AB4821">
        <w:rPr>
          <w:rFonts w:eastAsiaTheme="minorEastAsia" w:cstheme="minorHAnsi"/>
          <w:color w:val="000000" w:themeColor="text1"/>
          <w:lang w:eastAsia="pl-PL"/>
        </w:rPr>
        <w:t>Consortium</w:t>
      </w:r>
      <w:proofErr w:type="spellEnd"/>
    </w:p>
    <w:p w:rsidR="00AB4821" w:rsidRPr="00AB4821" w:rsidRDefault="00AB4821" w:rsidP="00AB4821">
      <w:pPr>
        <w:numPr>
          <w:ilvl w:val="0"/>
          <w:numId w:val="30"/>
        </w:numPr>
        <w:tabs>
          <w:tab w:val="left" w:pos="851"/>
          <w:tab w:val="num" w:pos="1134"/>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Systemy zarządzania bezpieczeństwem informacji zgodny z normą ISO/IEC 27001 lub równoważnym pod warunkiem wskazania programu i procedury certyfikacji</w:t>
      </w:r>
    </w:p>
    <w:p w:rsidR="00AB4821" w:rsidRPr="00AB4821" w:rsidRDefault="00AB4821" w:rsidP="00AB4821">
      <w:pPr>
        <w:numPr>
          <w:ilvl w:val="0"/>
          <w:numId w:val="29"/>
        </w:numPr>
        <w:tabs>
          <w:tab w:val="left" w:pos="426"/>
          <w:tab w:val="num" w:pos="993"/>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Oprawa wyposażona w etykietę z kodem QR wraz z dodatkową naklejką do umieszczenia np. we wnęce słupowej i/lub na projekcie. Kod QR poprzez użycie dedykowanej aplikacji producenta umożliwia uzyskanie pełnej charakterystyki oprawy i dostęp do informacji takich jak:</w:t>
      </w:r>
    </w:p>
    <w:p w:rsidR="00AB4821" w:rsidRPr="00AB4821" w:rsidRDefault="00AB4821" w:rsidP="00AB4821">
      <w:pPr>
        <w:tabs>
          <w:tab w:val="left" w:pos="426"/>
        </w:tabs>
        <w:spacing w:after="0" w:line="240" w:lineRule="auto"/>
        <w:ind w:left="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 parametry fotometryczne, elektryczne oraz mechaniczne</w:t>
      </w:r>
    </w:p>
    <w:p w:rsidR="00AB4821" w:rsidRPr="00AB4821" w:rsidRDefault="00AB4821" w:rsidP="00AB4821">
      <w:pPr>
        <w:tabs>
          <w:tab w:val="left" w:pos="426"/>
        </w:tabs>
        <w:spacing w:after="0" w:line="240" w:lineRule="auto"/>
        <w:ind w:left="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 dokumentacja oprawy, instrukcja montażu</w:t>
      </w:r>
    </w:p>
    <w:p w:rsidR="00AB4821" w:rsidRPr="00AB4821" w:rsidRDefault="00AB4821" w:rsidP="00AB4821">
      <w:pPr>
        <w:tabs>
          <w:tab w:val="left" w:pos="426"/>
        </w:tabs>
        <w:spacing w:after="0" w:line="240" w:lineRule="auto"/>
        <w:ind w:left="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 instrukcja serwisowania w przypadku nieprawidłowego działania oprawy oświetleniowej</w:t>
      </w:r>
    </w:p>
    <w:p w:rsidR="00AB4821" w:rsidRPr="00AB4821" w:rsidRDefault="00AB4821" w:rsidP="00AB4821">
      <w:pPr>
        <w:tabs>
          <w:tab w:val="left" w:pos="426"/>
        </w:tabs>
        <w:spacing w:after="0" w:line="240" w:lineRule="auto"/>
        <w:ind w:left="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 xml:space="preserve">- lista części zamiennych wraz z kodami producenta  </w:t>
      </w:r>
    </w:p>
    <w:p w:rsidR="00AB4821" w:rsidRPr="00AB4821" w:rsidRDefault="00AB4821" w:rsidP="00AB4821">
      <w:pPr>
        <w:numPr>
          <w:ilvl w:val="0"/>
          <w:numId w:val="29"/>
        </w:numPr>
        <w:tabs>
          <w:tab w:val="left" w:pos="426"/>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Wykonawca po zamontowaniu opraw na słupach lub wysięgnikach i podłączeniu do obwodu oświetleniowego doda do istniejącego systemu zarządzania oświetleniem drogowym nowe oprawy.</w:t>
      </w:r>
    </w:p>
    <w:p w:rsidR="00AB4821" w:rsidRPr="00AB4821" w:rsidRDefault="00AB4821" w:rsidP="00AB4821">
      <w:pPr>
        <w:numPr>
          <w:ilvl w:val="0"/>
          <w:numId w:val="29"/>
        </w:numPr>
        <w:tabs>
          <w:tab w:val="left" w:pos="426"/>
        </w:tabs>
        <w:spacing w:after="0" w:line="240" w:lineRule="auto"/>
        <w:ind w:left="426" w:hanging="426"/>
        <w:contextualSpacing/>
        <w:jc w:val="both"/>
        <w:rPr>
          <w:rFonts w:eastAsiaTheme="minorEastAsia" w:cstheme="minorHAnsi"/>
          <w:color w:val="000000" w:themeColor="text1"/>
          <w:lang w:eastAsia="pl-PL"/>
        </w:rPr>
      </w:pPr>
      <w:r w:rsidRPr="00AB4821">
        <w:rPr>
          <w:rFonts w:eastAsiaTheme="minorEastAsia" w:cstheme="minorHAnsi"/>
          <w:color w:val="000000" w:themeColor="text1"/>
          <w:lang w:eastAsia="pl-PL"/>
        </w:rPr>
        <w:t xml:space="preserve">W celu udokumentowania zgodności oferowanego sprzętu oświetleniowego z wymogami technicznymi i oświetleniowymi należy dołączyć kartę (karty) katalogową (katalogowe) oraz obliczenia fotometryczne. </w:t>
      </w:r>
    </w:p>
    <w:p w:rsidR="00AB4821" w:rsidRPr="00AB4821" w:rsidRDefault="00AB4821" w:rsidP="00AB4821">
      <w:pPr>
        <w:tabs>
          <w:tab w:val="left" w:pos="426"/>
        </w:tabs>
        <w:spacing w:after="0" w:line="240" w:lineRule="auto"/>
        <w:ind w:left="426"/>
        <w:contextualSpacing/>
        <w:jc w:val="both"/>
        <w:rPr>
          <w:rFonts w:eastAsiaTheme="minorEastAsia" w:cstheme="minorHAnsi"/>
          <w:lang w:eastAsia="pl-PL"/>
        </w:rPr>
      </w:pPr>
    </w:p>
    <w:p w:rsidR="00AB4821" w:rsidRPr="00AB4821" w:rsidRDefault="00AB4821" w:rsidP="00AB4821">
      <w:pPr>
        <w:spacing w:line="360" w:lineRule="auto"/>
        <w:rPr>
          <w:rFonts w:cstheme="minorHAnsi"/>
        </w:rPr>
      </w:pPr>
      <w:r w:rsidRPr="00AB4821">
        <w:rPr>
          <w:rFonts w:cstheme="minorHAnsi"/>
          <w:b/>
        </w:rPr>
        <w:t>Szafa przeznaczona do zabudowy powinna spełniać</w:t>
      </w:r>
      <w:r w:rsidRPr="00AB4821">
        <w:rPr>
          <w:rFonts w:cstheme="minorHAnsi"/>
          <w:b/>
          <w:bCs/>
        </w:rPr>
        <w:t xml:space="preserve"> następujące </w:t>
      </w:r>
      <w:r w:rsidRPr="00AB4821">
        <w:rPr>
          <w:rFonts w:cstheme="minorHAnsi"/>
          <w:b/>
        </w:rPr>
        <w:t>wymogi:</w:t>
      </w:r>
    </w:p>
    <w:p w:rsidR="00AB4821" w:rsidRPr="00AB4821" w:rsidRDefault="00AB4821" w:rsidP="00AB4821">
      <w:pPr>
        <w:numPr>
          <w:ilvl w:val="0"/>
          <w:numId w:val="23"/>
        </w:numPr>
        <w:tabs>
          <w:tab w:val="left" w:pos="336"/>
          <w:tab w:val="num" w:pos="720"/>
        </w:tabs>
        <w:suppressAutoHyphens/>
        <w:overflowPunct w:val="0"/>
        <w:spacing w:after="0" w:line="240" w:lineRule="auto"/>
        <w:ind w:left="284" w:hanging="284"/>
        <w:rPr>
          <w:rFonts w:cstheme="minorHAnsi"/>
        </w:rPr>
      </w:pPr>
      <w:r w:rsidRPr="00AB4821">
        <w:rPr>
          <w:rFonts w:cstheme="minorHAnsi"/>
        </w:rPr>
        <w:t xml:space="preserve">zgodność z normami: PN-EN 60439-1:2003 + A1:2006, PN-EN 60439-5:2008, PN-EN 61439-1:2011, </w:t>
      </w:r>
      <w:r>
        <w:rPr>
          <w:rFonts w:cstheme="minorHAnsi"/>
        </w:rPr>
        <w:br/>
      </w:r>
      <w:r w:rsidRPr="00AB4821">
        <w:rPr>
          <w:rFonts w:cstheme="minorHAnsi"/>
        </w:rPr>
        <w:t>PN-EN 1439-2:2011, PN-EN 60529:2003, PN-EN 62262:2003, PN-E- 05163:2008, potwierdzona przez certyfikat zgodności CE/certyfikat zgodności z normami.</w:t>
      </w:r>
    </w:p>
    <w:p w:rsidR="00AB4821" w:rsidRPr="00AB4821" w:rsidRDefault="00AB4821" w:rsidP="00AB4821">
      <w:pPr>
        <w:numPr>
          <w:ilvl w:val="0"/>
          <w:numId w:val="23"/>
        </w:numPr>
        <w:tabs>
          <w:tab w:val="left" w:pos="336"/>
          <w:tab w:val="num" w:pos="720"/>
        </w:tabs>
        <w:suppressAutoHyphens/>
        <w:overflowPunct w:val="0"/>
        <w:spacing w:after="0" w:line="240" w:lineRule="auto"/>
        <w:ind w:left="0" w:firstLine="0"/>
        <w:rPr>
          <w:rFonts w:cstheme="minorHAnsi"/>
        </w:rPr>
      </w:pPr>
      <w:r w:rsidRPr="00AB4821">
        <w:rPr>
          <w:rFonts w:cstheme="minorHAnsi"/>
        </w:rPr>
        <w:t>napięcie znamionowe: 230/400 V AC;</w:t>
      </w:r>
    </w:p>
    <w:p w:rsidR="00AB4821" w:rsidRPr="00AB4821" w:rsidRDefault="00AB4821" w:rsidP="00AB4821">
      <w:pPr>
        <w:numPr>
          <w:ilvl w:val="0"/>
          <w:numId w:val="23"/>
        </w:numPr>
        <w:tabs>
          <w:tab w:val="left" w:pos="336"/>
          <w:tab w:val="num" w:pos="720"/>
        </w:tabs>
        <w:suppressAutoHyphens/>
        <w:overflowPunct w:val="0"/>
        <w:spacing w:after="0" w:line="240" w:lineRule="auto"/>
        <w:ind w:left="0" w:firstLine="0"/>
        <w:rPr>
          <w:rFonts w:cstheme="minorHAnsi"/>
        </w:rPr>
      </w:pPr>
      <w:r w:rsidRPr="00AB4821">
        <w:rPr>
          <w:rFonts w:cstheme="minorHAnsi"/>
        </w:rPr>
        <w:t>napięcie znamionowe izolacji: 500 V;</w:t>
      </w:r>
    </w:p>
    <w:p w:rsidR="00AB4821" w:rsidRPr="00AB4821" w:rsidRDefault="00AB4821" w:rsidP="00AB4821">
      <w:pPr>
        <w:numPr>
          <w:ilvl w:val="0"/>
          <w:numId w:val="23"/>
        </w:numPr>
        <w:tabs>
          <w:tab w:val="left" w:pos="336"/>
          <w:tab w:val="num" w:pos="720"/>
        </w:tabs>
        <w:suppressAutoHyphens/>
        <w:overflowPunct w:val="0"/>
        <w:spacing w:after="0" w:line="240" w:lineRule="auto"/>
        <w:ind w:left="0" w:firstLine="0"/>
        <w:rPr>
          <w:rFonts w:cstheme="minorHAnsi"/>
        </w:rPr>
      </w:pPr>
      <w:r w:rsidRPr="00AB4821">
        <w:rPr>
          <w:rFonts w:cstheme="minorHAnsi"/>
        </w:rPr>
        <w:t xml:space="preserve">napięcie znamionowe udarowe wytrzymywane: 2,5 </w:t>
      </w:r>
      <w:proofErr w:type="spellStart"/>
      <w:r w:rsidRPr="00AB4821">
        <w:rPr>
          <w:rFonts w:cstheme="minorHAnsi"/>
        </w:rPr>
        <w:t>kV</w:t>
      </w:r>
      <w:proofErr w:type="spellEnd"/>
      <w:r w:rsidRPr="00AB4821">
        <w:rPr>
          <w:rFonts w:cstheme="minorHAnsi"/>
        </w:rPr>
        <w:t>;</w:t>
      </w:r>
    </w:p>
    <w:p w:rsidR="00AB4821" w:rsidRPr="00AB4821" w:rsidRDefault="00AB4821" w:rsidP="00AB4821">
      <w:pPr>
        <w:numPr>
          <w:ilvl w:val="0"/>
          <w:numId w:val="23"/>
        </w:numPr>
        <w:tabs>
          <w:tab w:val="left" w:pos="336"/>
          <w:tab w:val="num" w:pos="720"/>
        </w:tabs>
        <w:suppressAutoHyphens/>
        <w:overflowPunct w:val="0"/>
        <w:spacing w:after="0" w:line="240" w:lineRule="auto"/>
        <w:ind w:left="0" w:firstLine="0"/>
        <w:rPr>
          <w:rFonts w:cstheme="minorHAnsi"/>
        </w:rPr>
      </w:pPr>
      <w:r w:rsidRPr="00AB4821">
        <w:rPr>
          <w:rFonts w:cstheme="minorHAnsi"/>
        </w:rPr>
        <w:t xml:space="preserve">prąd znamionowy krótkotrwały wytrzymywany szyn zbiorczych: min. 18 </w:t>
      </w:r>
      <w:proofErr w:type="spellStart"/>
      <w:r w:rsidRPr="00AB4821">
        <w:rPr>
          <w:rFonts w:cstheme="minorHAnsi"/>
        </w:rPr>
        <w:t>kA</w:t>
      </w:r>
      <w:proofErr w:type="spellEnd"/>
      <w:r w:rsidRPr="00AB4821">
        <w:rPr>
          <w:rFonts w:cstheme="minorHAnsi"/>
        </w:rPr>
        <w:t>, 1s.,</w:t>
      </w:r>
    </w:p>
    <w:p w:rsidR="00AB4821" w:rsidRPr="00AB4821" w:rsidRDefault="00AB4821" w:rsidP="00AB4821">
      <w:pPr>
        <w:numPr>
          <w:ilvl w:val="0"/>
          <w:numId w:val="23"/>
        </w:numPr>
        <w:tabs>
          <w:tab w:val="left" w:pos="336"/>
          <w:tab w:val="num" w:pos="720"/>
        </w:tabs>
        <w:suppressAutoHyphens/>
        <w:overflowPunct w:val="0"/>
        <w:spacing w:after="0" w:line="240" w:lineRule="auto"/>
        <w:ind w:left="0" w:firstLine="0"/>
        <w:rPr>
          <w:rFonts w:cstheme="minorHAnsi"/>
        </w:rPr>
      </w:pPr>
      <w:r w:rsidRPr="00AB4821">
        <w:rPr>
          <w:rFonts w:cstheme="minorHAnsi"/>
        </w:rPr>
        <w:t xml:space="preserve">prąd znamionowy szczytowy wytrzymywany szyn zbiorczych: min. 40 </w:t>
      </w:r>
      <w:proofErr w:type="spellStart"/>
      <w:r w:rsidRPr="00AB4821">
        <w:rPr>
          <w:rFonts w:cstheme="minorHAnsi"/>
        </w:rPr>
        <w:t>kA</w:t>
      </w:r>
      <w:proofErr w:type="spellEnd"/>
      <w:r w:rsidRPr="00AB4821">
        <w:rPr>
          <w:rFonts w:cstheme="minorHAnsi"/>
        </w:rPr>
        <w:t>;</w:t>
      </w:r>
    </w:p>
    <w:p w:rsidR="00AB4821" w:rsidRPr="00AB4821" w:rsidRDefault="00AB4821" w:rsidP="00AB4821">
      <w:pPr>
        <w:numPr>
          <w:ilvl w:val="0"/>
          <w:numId w:val="23"/>
        </w:numPr>
        <w:tabs>
          <w:tab w:val="left" w:pos="336"/>
          <w:tab w:val="num" w:pos="720"/>
        </w:tabs>
        <w:suppressAutoHyphens/>
        <w:overflowPunct w:val="0"/>
        <w:spacing w:after="0" w:line="240" w:lineRule="auto"/>
        <w:ind w:left="0" w:firstLine="0"/>
        <w:rPr>
          <w:rFonts w:cstheme="minorHAnsi"/>
        </w:rPr>
      </w:pPr>
      <w:r w:rsidRPr="00AB4821">
        <w:rPr>
          <w:rFonts w:cstheme="minorHAnsi"/>
        </w:rPr>
        <w:t xml:space="preserve">odporność na działanie łuku wewnętrznego: min. 16 </w:t>
      </w:r>
      <w:proofErr w:type="spellStart"/>
      <w:r w:rsidRPr="00AB4821">
        <w:rPr>
          <w:rFonts w:cstheme="minorHAnsi"/>
        </w:rPr>
        <w:t>kA</w:t>
      </w:r>
      <w:proofErr w:type="spellEnd"/>
      <w:r w:rsidRPr="00AB4821">
        <w:rPr>
          <w:rFonts w:cstheme="minorHAnsi"/>
        </w:rPr>
        <w:t>, 0,1 s.;</w:t>
      </w:r>
    </w:p>
    <w:p w:rsidR="00AB4821" w:rsidRPr="00AB4821" w:rsidRDefault="00AB4821" w:rsidP="00AB4821">
      <w:pPr>
        <w:numPr>
          <w:ilvl w:val="0"/>
          <w:numId w:val="23"/>
        </w:numPr>
        <w:tabs>
          <w:tab w:val="left" w:pos="336"/>
          <w:tab w:val="num" w:pos="720"/>
        </w:tabs>
        <w:suppressAutoHyphens/>
        <w:overflowPunct w:val="0"/>
        <w:spacing w:after="0" w:line="240" w:lineRule="auto"/>
        <w:ind w:left="0" w:firstLine="0"/>
        <w:rPr>
          <w:rFonts w:cstheme="minorHAnsi"/>
        </w:rPr>
      </w:pPr>
      <w:r w:rsidRPr="00AB4821">
        <w:rPr>
          <w:rFonts w:cstheme="minorHAnsi"/>
        </w:rPr>
        <w:t>prąd znamionowy ciągły: do 400 A;</w:t>
      </w:r>
    </w:p>
    <w:p w:rsidR="00AB4821" w:rsidRPr="00AB4821" w:rsidRDefault="00AB4821" w:rsidP="00AB4821">
      <w:pPr>
        <w:numPr>
          <w:ilvl w:val="0"/>
          <w:numId w:val="23"/>
        </w:numPr>
        <w:tabs>
          <w:tab w:val="left" w:pos="336"/>
          <w:tab w:val="num" w:pos="720"/>
        </w:tabs>
        <w:suppressAutoHyphens/>
        <w:overflowPunct w:val="0"/>
        <w:spacing w:after="0" w:line="240" w:lineRule="auto"/>
        <w:ind w:left="0" w:firstLine="0"/>
        <w:rPr>
          <w:rFonts w:cstheme="minorHAnsi"/>
        </w:rPr>
      </w:pPr>
      <w:r w:rsidRPr="00AB4821">
        <w:rPr>
          <w:rFonts w:cstheme="minorHAnsi"/>
        </w:rPr>
        <w:t>prąd znamionowy ciągły obwodów odpływowych: do 100A;</w:t>
      </w:r>
    </w:p>
    <w:p w:rsidR="00AB4821" w:rsidRPr="00AB4821" w:rsidRDefault="00AB4821" w:rsidP="00AB4821">
      <w:pPr>
        <w:spacing w:line="360" w:lineRule="auto"/>
        <w:rPr>
          <w:rFonts w:cstheme="minorHAnsi"/>
          <w:b/>
        </w:rPr>
      </w:pPr>
    </w:p>
    <w:p w:rsidR="00AB4821" w:rsidRPr="00AB4821" w:rsidRDefault="00AB4821" w:rsidP="00AB4821">
      <w:pPr>
        <w:spacing w:line="360" w:lineRule="auto"/>
        <w:rPr>
          <w:rFonts w:cstheme="minorHAnsi"/>
        </w:rPr>
      </w:pPr>
      <w:r w:rsidRPr="00AB4821">
        <w:rPr>
          <w:rFonts w:cstheme="minorHAnsi"/>
          <w:b/>
        </w:rPr>
        <w:t>Szafka winna być wyposażona w:</w:t>
      </w:r>
    </w:p>
    <w:p w:rsidR="00AB4821" w:rsidRPr="00AB4821" w:rsidRDefault="00AB4821" w:rsidP="00AB4821">
      <w:pPr>
        <w:numPr>
          <w:ilvl w:val="0"/>
          <w:numId w:val="24"/>
        </w:numPr>
        <w:tabs>
          <w:tab w:val="left" w:pos="396"/>
        </w:tabs>
        <w:suppressAutoHyphens/>
        <w:overflowPunct w:val="0"/>
        <w:spacing w:after="0" w:line="240" w:lineRule="auto"/>
        <w:ind w:left="0" w:firstLine="0"/>
        <w:rPr>
          <w:rFonts w:cstheme="minorHAnsi"/>
        </w:rPr>
      </w:pPr>
      <w:r w:rsidRPr="00AB4821">
        <w:rPr>
          <w:rFonts w:cstheme="minorHAnsi"/>
        </w:rPr>
        <w:t>ochrona przeciwprzepięciowa dla sterowania,</w:t>
      </w:r>
    </w:p>
    <w:p w:rsidR="00AB4821" w:rsidRPr="00AB4821" w:rsidRDefault="00AB4821" w:rsidP="00AB4821">
      <w:pPr>
        <w:numPr>
          <w:ilvl w:val="0"/>
          <w:numId w:val="24"/>
        </w:numPr>
        <w:tabs>
          <w:tab w:val="left" w:pos="396"/>
        </w:tabs>
        <w:suppressAutoHyphens/>
        <w:overflowPunct w:val="0"/>
        <w:spacing w:after="0" w:line="240" w:lineRule="auto"/>
        <w:ind w:left="426" w:hanging="426"/>
        <w:jc w:val="both"/>
        <w:rPr>
          <w:rFonts w:cstheme="minorHAnsi"/>
        </w:rPr>
      </w:pPr>
      <w:r w:rsidRPr="00AB4821">
        <w:rPr>
          <w:rFonts w:cstheme="minorHAnsi"/>
        </w:rPr>
        <w:t>programowalny sterownik, umożliwiający zdalne odczyty parametrów sieci zasilającej za pomocą sieci GSM/GPRS,</w:t>
      </w:r>
    </w:p>
    <w:p w:rsidR="00AB4821" w:rsidRPr="00AB4821" w:rsidRDefault="00AB4821" w:rsidP="00AB4821">
      <w:pPr>
        <w:numPr>
          <w:ilvl w:val="0"/>
          <w:numId w:val="24"/>
        </w:numPr>
        <w:tabs>
          <w:tab w:val="left" w:pos="396"/>
        </w:tabs>
        <w:suppressAutoHyphens/>
        <w:overflowPunct w:val="0"/>
        <w:spacing w:after="0" w:line="240" w:lineRule="auto"/>
        <w:ind w:left="0" w:firstLine="0"/>
        <w:rPr>
          <w:rFonts w:cstheme="minorHAnsi"/>
        </w:rPr>
      </w:pPr>
      <w:r w:rsidRPr="00AB4821">
        <w:rPr>
          <w:rFonts w:cstheme="minorHAnsi"/>
        </w:rPr>
        <w:t>zabezpieczenie sterownika – wyłącznik nadmiarowo - prądowy B 6A,</w:t>
      </w:r>
    </w:p>
    <w:p w:rsidR="00AB4821" w:rsidRPr="00AB4821" w:rsidRDefault="00AB4821" w:rsidP="00AB4821">
      <w:pPr>
        <w:numPr>
          <w:ilvl w:val="0"/>
          <w:numId w:val="24"/>
        </w:numPr>
        <w:tabs>
          <w:tab w:val="left" w:pos="396"/>
        </w:tabs>
        <w:suppressAutoHyphens/>
        <w:overflowPunct w:val="0"/>
        <w:spacing w:after="0" w:line="240" w:lineRule="auto"/>
        <w:ind w:left="284" w:hanging="284"/>
        <w:jc w:val="both"/>
        <w:rPr>
          <w:rFonts w:cstheme="minorHAnsi"/>
        </w:rPr>
      </w:pPr>
      <w:r w:rsidRPr="00AB4821">
        <w:rPr>
          <w:rFonts w:cstheme="minorHAnsi"/>
        </w:rPr>
        <w:t xml:space="preserve">zabezpieczenie obwodów </w:t>
      </w:r>
      <w:proofErr w:type="spellStart"/>
      <w:r w:rsidRPr="00AB4821">
        <w:rPr>
          <w:rFonts w:cstheme="minorHAnsi"/>
        </w:rPr>
        <w:t>odejściowych</w:t>
      </w:r>
      <w:proofErr w:type="spellEnd"/>
      <w:r w:rsidRPr="00AB4821">
        <w:rPr>
          <w:rFonts w:cstheme="minorHAnsi"/>
        </w:rPr>
        <w:t xml:space="preserve"> oświetleniowych – rozłącznik bezpiecznikowy, umożliwiający uzyskanie widocznej przerwy, na wkładki Bi (DO2) lub nożowe w zależności od występującego obciążenia. Wkładki montowane w szafach sterowniczych powinny spełniać wymagania PN-91/E-06160/10.</w:t>
      </w:r>
    </w:p>
    <w:p w:rsidR="00AB4821" w:rsidRPr="00AB4821" w:rsidRDefault="00AB4821" w:rsidP="00AB4821">
      <w:pPr>
        <w:numPr>
          <w:ilvl w:val="0"/>
          <w:numId w:val="24"/>
        </w:numPr>
        <w:tabs>
          <w:tab w:val="left" w:pos="396"/>
        </w:tabs>
        <w:suppressAutoHyphens/>
        <w:overflowPunct w:val="0"/>
        <w:spacing w:after="0" w:line="240" w:lineRule="auto"/>
        <w:ind w:left="284" w:hanging="284"/>
        <w:jc w:val="both"/>
        <w:rPr>
          <w:rFonts w:cstheme="minorHAnsi"/>
        </w:rPr>
      </w:pPr>
      <w:r w:rsidRPr="00AB4821">
        <w:rPr>
          <w:rFonts w:cstheme="minorHAnsi"/>
        </w:rPr>
        <w:lastRenderedPageBreak/>
        <w:t>gniazdo serwisowe 230 V AC z bolcem ochronnym, zabezpieczenie gniazda serwisowego wyłącznikiem instalacyjnym nadmiarowo - prądowym jednobiegunowym na prąd znamionowy 16A i charakterystyce typu B,</w:t>
      </w:r>
    </w:p>
    <w:p w:rsidR="00AB4821" w:rsidRPr="00AB4821" w:rsidRDefault="00AB4821" w:rsidP="00AB4821">
      <w:pPr>
        <w:numPr>
          <w:ilvl w:val="0"/>
          <w:numId w:val="24"/>
        </w:numPr>
        <w:tabs>
          <w:tab w:val="left" w:pos="396"/>
        </w:tabs>
        <w:suppressAutoHyphens/>
        <w:overflowPunct w:val="0"/>
        <w:spacing w:after="0" w:line="240" w:lineRule="auto"/>
        <w:ind w:left="284" w:hanging="284"/>
        <w:jc w:val="both"/>
        <w:rPr>
          <w:rFonts w:cstheme="minorHAnsi"/>
        </w:rPr>
      </w:pPr>
      <w:r w:rsidRPr="00AB4821">
        <w:rPr>
          <w:rFonts w:cstheme="minorHAnsi"/>
        </w:rPr>
        <w:t>przełącznik rodzaju pracy (pozycje: A / 0 / R) 10A, umożliwiający w razie awarii sterownika przełączenie w tryb R załączania ręcznego, lub 0 całkowite wyłączenie oświetlenia,</w:t>
      </w:r>
    </w:p>
    <w:p w:rsidR="00AB4821" w:rsidRPr="00AB4821" w:rsidRDefault="00AB4821" w:rsidP="00AB4821">
      <w:pPr>
        <w:numPr>
          <w:ilvl w:val="0"/>
          <w:numId w:val="24"/>
        </w:numPr>
        <w:tabs>
          <w:tab w:val="left" w:pos="396"/>
        </w:tabs>
        <w:suppressAutoHyphens/>
        <w:overflowPunct w:val="0"/>
        <w:spacing w:after="0" w:line="240" w:lineRule="auto"/>
        <w:ind w:left="284" w:hanging="284"/>
        <w:jc w:val="both"/>
        <w:rPr>
          <w:rFonts w:cstheme="minorHAnsi"/>
        </w:rPr>
      </w:pPr>
      <w:r w:rsidRPr="00AB4821">
        <w:rPr>
          <w:rFonts w:cstheme="minorHAnsi"/>
        </w:rPr>
        <w:t>stycznik trójbiegunowy o prądzie dostosowanym do wymaganego obciążenia,</w:t>
      </w:r>
    </w:p>
    <w:p w:rsidR="00AB4821" w:rsidRPr="00AB4821" w:rsidRDefault="00AB4821" w:rsidP="00AB4821">
      <w:pPr>
        <w:numPr>
          <w:ilvl w:val="0"/>
          <w:numId w:val="24"/>
        </w:numPr>
        <w:tabs>
          <w:tab w:val="left" w:pos="396"/>
        </w:tabs>
        <w:suppressAutoHyphens/>
        <w:overflowPunct w:val="0"/>
        <w:spacing w:after="0" w:line="240" w:lineRule="auto"/>
        <w:ind w:left="284" w:hanging="284"/>
        <w:jc w:val="both"/>
        <w:rPr>
          <w:rFonts w:cstheme="minorHAnsi"/>
        </w:rPr>
      </w:pPr>
      <w:r w:rsidRPr="00AB4821">
        <w:rPr>
          <w:rFonts w:cstheme="minorHAnsi"/>
        </w:rPr>
        <w:t xml:space="preserve">złączki zaciskowe na klucz </w:t>
      </w:r>
      <w:proofErr w:type="spellStart"/>
      <w:r w:rsidRPr="00AB4821">
        <w:rPr>
          <w:rFonts w:cstheme="minorHAnsi"/>
        </w:rPr>
        <w:t>imbusowy</w:t>
      </w:r>
      <w:proofErr w:type="spellEnd"/>
      <w:r w:rsidRPr="00AB4821">
        <w:rPr>
          <w:rFonts w:cstheme="minorHAnsi"/>
        </w:rPr>
        <w:t xml:space="preserve"> dla obwodów </w:t>
      </w:r>
      <w:proofErr w:type="spellStart"/>
      <w:r w:rsidRPr="00AB4821">
        <w:rPr>
          <w:rFonts w:cstheme="minorHAnsi"/>
        </w:rPr>
        <w:t>odejściowych</w:t>
      </w:r>
      <w:proofErr w:type="spellEnd"/>
      <w:r w:rsidRPr="00AB4821">
        <w:rPr>
          <w:rFonts w:cstheme="minorHAnsi"/>
        </w:rPr>
        <w:t xml:space="preserve"> o przekroju do 50mm</w:t>
      </w:r>
      <w:r w:rsidRPr="00AB4821">
        <w:rPr>
          <w:rFonts w:cstheme="minorHAnsi"/>
          <w:vertAlign w:val="superscript"/>
        </w:rPr>
        <w:t>2,</w:t>
      </w:r>
    </w:p>
    <w:p w:rsidR="00AB4821" w:rsidRPr="00AB4821" w:rsidRDefault="00AB4821" w:rsidP="00AB4821">
      <w:pPr>
        <w:numPr>
          <w:ilvl w:val="0"/>
          <w:numId w:val="24"/>
        </w:numPr>
        <w:tabs>
          <w:tab w:val="left" w:pos="396"/>
        </w:tabs>
        <w:suppressAutoHyphens/>
        <w:overflowPunct w:val="0"/>
        <w:spacing w:after="0" w:line="240" w:lineRule="auto"/>
        <w:ind w:left="284" w:hanging="284"/>
        <w:jc w:val="both"/>
        <w:rPr>
          <w:rFonts w:cstheme="minorHAnsi"/>
        </w:rPr>
      </w:pPr>
      <w:r w:rsidRPr="00AB4821">
        <w:rPr>
          <w:rFonts w:cstheme="minorHAnsi"/>
        </w:rPr>
        <w:t>lampki kontrolne do sygnalizacji obecności napięcia (na każdej fazie),</w:t>
      </w:r>
    </w:p>
    <w:p w:rsidR="00AB4821" w:rsidRPr="00AB4821" w:rsidRDefault="00AB4821" w:rsidP="00AB4821">
      <w:pPr>
        <w:numPr>
          <w:ilvl w:val="0"/>
          <w:numId w:val="24"/>
        </w:numPr>
        <w:tabs>
          <w:tab w:val="left" w:pos="396"/>
        </w:tabs>
        <w:suppressAutoHyphens/>
        <w:overflowPunct w:val="0"/>
        <w:spacing w:after="0" w:line="240" w:lineRule="auto"/>
        <w:ind w:left="284" w:hanging="284"/>
        <w:jc w:val="both"/>
        <w:rPr>
          <w:rFonts w:cstheme="minorHAnsi"/>
        </w:rPr>
      </w:pPr>
      <w:r w:rsidRPr="00AB4821">
        <w:rPr>
          <w:rFonts w:cstheme="minorHAnsi"/>
        </w:rPr>
        <w:t>zabudowa aparatury na szynie TH 35,</w:t>
      </w:r>
    </w:p>
    <w:p w:rsidR="00AB4821" w:rsidRPr="00AB4821" w:rsidRDefault="00AB4821" w:rsidP="00AB4821">
      <w:pPr>
        <w:numPr>
          <w:ilvl w:val="0"/>
          <w:numId w:val="24"/>
        </w:numPr>
        <w:tabs>
          <w:tab w:val="left" w:pos="396"/>
        </w:tabs>
        <w:suppressAutoHyphens/>
        <w:overflowPunct w:val="0"/>
        <w:spacing w:after="0" w:line="240" w:lineRule="auto"/>
        <w:ind w:left="284" w:hanging="284"/>
        <w:jc w:val="both"/>
        <w:rPr>
          <w:rFonts w:cstheme="minorHAnsi"/>
        </w:rPr>
      </w:pPr>
      <w:r w:rsidRPr="00AB4821">
        <w:rPr>
          <w:rFonts w:cstheme="minorHAnsi"/>
        </w:rPr>
        <w:t>końcówki przewodów toru głównego zakończone tulejkami zaciskowymi,</w:t>
      </w:r>
    </w:p>
    <w:p w:rsidR="00AB4821" w:rsidRPr="00AB4821" w:rsidRDefault="00AB4821" w:rsidP="00AB4821">
      <w:pPr>
        <w:numPr>
          <w:ilvl w:val="0"/>
          <w:numId w:val="24"/>
        </w:numPr>
        <w:tabs>
          <w:tab w:val="left" w:pos="396"/>
        </w:tabs>
        <w:suppressAutoHyphens/>
        <w:overflowPunct w:val="0"/>
        <w:spacing w:after="0" w:line="240" w:lineRule="auto"/>
        <w:ind w:left="284" w:hanging="284"/>
        <w:jc w:val="both"/>
        <w:rPr>
          <w:rFonts w:cstheme="minorHAnsi"/>
        </w:rPr>
      </w:pPr>
      <w:proofErr w:type="spellStart"/>
      <w:r w:rsidRPr="00AB4821">
        <w:rPr>
          <w:rFonts w:cstheme="minorHAnsi"/>
        </w:rPr>
        <w:t>oprzewodowanie</w:t>
      </w:r>
      <w:proofErr w:type="spellEnd"/>
      <w:r w:rsidRPr="00AB4821">
        <w:rPr>
          <w:rFonts w:cstheme="minorHAnsi"/>
        </w:rPr>
        <w:t xml:space="preserve"> toru głównego wykonane przewodem </w:t>
      </w:r>
      <w:proofErr w:type="spellStart"/>
      <w:r w:rsidRPr="00AB4821">
        <w:rPr>
          <w:rFonts w:cstheme="minorHAnsi"/>
        </w:rPr>
        <w:t>LgY</w:t>
      </w:r>
      <w:proofErr w:type="spellEnd"/>
      <w:r w:rsidRPr="00AB4821">
        <w:rPr>
          <w:rFonts w:cstheme="minorHAnsi"/>
        </w:rPr>
        <w:t xml:space="preserve"> min. 10mm</w:t>
      </w:r>
      <w:r w:rsidRPr="00AB4821">
        <w:rPr>
          <w:rFonts w:cstheme="minorHAnsi"/>
          <w:vertAlign w:val="superscript"/>
        </w:rPr>
        <w:t>2</w:t>
      </w:r>
      <w:r w:rsidRPr="00AB4821">
        <w:rPr>
          <w:rFonts w:cstheme="minorHAnsi"/>
        </w:rPr>
        <w:t>,</w:t>
      </w:r>
    </w:p>
    <w:p w:rsidR="00AB4821" w:rsidRPr="00AB4821" w:rsidRDefault="00AB4821" w:rsidP="00AB4821">
      <w:pPr>
        <w:numPr>
          <w:ilvl w:val="0"/>
          <w:numId w:val="24"/>
        </w:numPr>
        <w:tabs>
          <w:tab w:val="left" w:pos="396"/>
        </w:tabs>
        <w:suppressAutoHyphens/>
        <w:overflowPunct w:val="0"/>
        <w:spacing w:after="0" w:line="240" w:lineRule="auto"/>
        <w:ind w:left="284" w:hanging="284"/>
        <w:jc w:val="both"/>
        <w:rPr>
          <w:rFonts w:cstheme="minorHAnsi"/>
        </w:rPr>
      </w:pPr>
      <w:r w:rsidRPr="00AB4821">
        <w:rPr>
          <w:rFonts w:cstheme="minorHAnsi"/>
        </w:rPr>
        <w:t xml:space="preserve">rezerwa miejsca min. jednego obwodu </w:t>
      </w:r>
      <w:proofErr w:type="spellStart"/>
      <w:r w:rsidRPr="00AB4821">
        <w:rPr>
          <w:rFonts w:cstheme="minorHAnsi"/>
        </w:rPr>
        <w:t>odejściowego</w:t>
      </w:r>
      <w:proofErr w:type="spellEnd"/>
      <w:r w:rsidRPr="00AB4821">
        <w:rPr>
          <w:rFonts w:cstheme="minorHAnsi"/>
        </w:rPr>
        <w:t>,</w:t>
      </w:r>
    </w:p>
    <w:p w:rsidR="00AB4821" w:rsidRPr="00AB4821" w:rsidRDefault="00AB4821" w:rsidP="00AB4821">
      <w:pPr>
        <w:numPr>
          <w:ilvl w:val="0"/>
          <w:numId w:val="24"/>
        </w:numPr>
        <w:tabs>
          <w:tab w:val="left" w:pos="396"/>
        </w:tabs>
        <w:suppressAutoHyphens/>
        <w:overflowPunct w:val="0"/>
        <w:spacing w:after="0" w:line="240" w:lineRule="auto"/>
        <w:ind w:left="284" w:hanging="284"/>
        <w:jc w:val="both"/>
        <w:rPr>
          <w:rFonts w:cstheme="minorHAnsi"/>
        </w:rPr>
      </w:pPr>
      <w:r w:rsidRPr="00AB4821">
        <w:rPr>
          <w:rFonts w:cstheme="minorHAnsi"/>
        </w:rPr>
        <w:t>trwały zalaminowany schemat szafy oświetleniowej.</w:t>
      </w:r>
    </w:p>
    <w:p w:rsidR="00AB4821" w:rsidRPr="00AB4821" w:rsidRDefault="00AB4821" w:rsidP="00AB4821">
      <w:pPr>
        <w:spacing w:line="240" w:lineRule="auto"/>
        <w:jc w:val="both"/>
        <w:rPr>
          <w:rFonts w:cstheme="minorHAnsi"/>
        </w:rPr>
      </w:pPr>
    </w:p>
    <w:p w:rsidR="00AB4821" w:rsidRPr="00AB4821" w:rsidRDefault="00AB4821" w:rsidP="00AB4821">
      <w:pPr>
        <w:spacing w:line="240" w:lineRule="auto"/>
        <w:jc w:val="both"/>
        <w:rPr>
          <w:rFonts w:cstheme="minorHAnsi"/>
        </w:rPr>
      </w:pPr>
      <w:r w:rsidRPr="00AB4821">
        <w:rPr>
          <w:rFonts w:cstheme="minorHAnsi"/>
          <w:b/>
          <w:bCs/>
        </w:rPr>
        <w:t>Sterownik -</w:t>
      </w:r>
      <w:r w:rsidRPr="00AB4821">
        <w:rPr>
          <w:rFonts w:cstheme="minorHAnsi"/>
        </w:rPr>
        <w:t xml:space="preserve"> winien zapewniać całkowitą kontrolę elementów szafy oświetlenia ulicznego </w:t>
      </w:r>
      <w:r w:rsidRPr="00AB4821">
        <w:rPr>
          <w:rFonts w:cstheme="minorHAnsi"/>
        </w:rPr>
        <w:br/>
        <w:t>i wszystkich zdarzeń zachodzących w sieci oświetlenia ulicznego i być wyposażony w modem GSM/ GPRS. Sterownik powinien składać się z:</w:t>
      </w:r>
    </w:p>
    <w:p w:rsidR="00AB4821" w:rsidRPr="00AB4821" w:rsidRDefault="00AB4821" w:rsidP="00AB4821">
      <w:pPr>
        <w:numPr>
          <w:ilvl w:val="0"/>
          <w:numId w:val="25"/>
        </w:numPr>
        <w:tabs>
          <w:tab w:val="left" w:pos="284"/>
        </w:tabs>
        <w:suppressAutoHyphens/>
        <w:overflowPunct w:val="0"/>
        <w:spacing w:after="0" w:line="240" w:lineRule="auto"/>
        <w:ind w:left="284" w:hanging="284"/>
        <w:jc w:val="both"/>
        <w:rPr>
          <w:rFonts w:cstheme="minorHAnsi"/>
        </w:rPr>
      </w:pPr>
      <w:r w:rsidRPr="00AB4821">
        <w:rPr>
          <w:rFonts w:cstheme="minorHAnsi"/>
        </w:rPr>
        <w:t>urządzenia elektronicznego z procesorem, zapewniającego nadzór, sterowanie, zarządzanie czasem, pomiarem i wykrywaniem usterek,</w:t>
      </w:r>
    </w:p>
    <w:p w:rsidR="00AB4821" w:rsidRPr="00AB4821" w:rsidRDefault="00AB4821" w:rsidP="00AB4821">
      <w:pPr>
        <w:numPr>
          <w:ilvl w:val="0"/>
          <w:numId w:val="25"/>
        </w:numPr>
        <w:tabs>
          <w:tab w:val="left" w:pos="284"/>
        </w:tabs>
        <w:suppressAutoHyphens/>
        <w:overflowPunct w:val="0"/>
        <w:spacing w:after="0" w:line="240" w:lineRule="auto"/>
        <w:ind w:left="0" w:firstLine="0"/>
        <w:jc w:val="both"/>
        <w:rPr>
          <w:rFonts w:cstheme="minorHAnsi"/>
        </w:rPr>
      </w:pPr>
      <w:r w:rsidRPr="00AB4821">
        <w:rPr>
          <w:rFonts w:cstheme="minorHAnsi"/>
        </w:rPr>
        <w:t>modemu GSM / GPRS z baterią, nośnikiem karty SIM i z wbudowaną anteną GSM, GPS,</w:t>
      </w:r>
    </w:p>
    <w:p w:rsidR="00AB4821" w:rsidRPr="00AB4821" w:rsidRDefault="00AB4821" w:rsidP="00AB4821">
      <w:pPr>
        <w:numPr>
          <w:ilvl w:val="0"/>
          <w:numId w:val="25"/>
        </w:numPr>
        <w:tabs>
          <w:tab w:val="left" w:pos="284"/>
        </w:tabs>
        <w:suppressAutoHyphens/>
        <w:overflowPunct w:val="0"/>
        <w:spacing w:after="0" w:line="240" w:lineRule="auto"/>
        <w:ind w:left="0" w:firstLine="0"/>
        <w:jc w:val="both"/>
        <w:rPr>
          <w:rFonts w:cstheme="minorHAnsi"/>
        </w:rPr>
      </w:pPr>
      <w:r w:rsidRPr="00AB4821">
        <w:rPr>
          <w:rFonts w:cstheme="minorHAnsi"/>
        </w:rPr>
        <w:t>zegara astronomicznego do sterowania oświetleniem,</w:t>
      </w:r>
    </w:p>
    <w:p w:rsidR="00AB4821" w:rsidRPr="00AB4821" w:rsidRDefault="00AB4821" w:rsidP="00AB4821">
      <w:pPr>
        <w:numPr>
          <w:ilvl w:val="0"/>
          <w:numId w:val="25"/>
        </w:numPr>
        <w:tabs>
          <w:tab w:val="left" w:pos="284"/>
        </w:tabs>
        <w:suppressAutoHyphens/>
        <w:overflowPunct w:val="0"/>
        <w:spacing w:after="0" w:line="240" w:lineRule="auto"/>
        <w:ind w:left="0" w:firstLine="0"/>
        <w:jc w:val="both"/>
        <w:rPr>
          <w:rFonts w:cstheme="minorHAnsi"/>
        </w:rPr>
      </w:pPr>
      <w:r w:rsidRPr="00AB4821">
        <w:rPr>
          <w:rFonts w:cstheme="minorHAnsi"/>
        </w:rPr>
        <w:t>portów łączności: mini USB/USB, RS232/485, CAN, EN62053,</w:t>
      </w:r>
    </w:p>
    <w:p w:rsidR="00AB4821" w:rsidRPr="00AB4821" w:rsidRDefault="00AB4821" w:rsidP="00AB4821">
      <w:pPr>
        <w:numPr>
          <w:ilvl w:val="0"/>
          <w:numId w:val="25"/>
        </w:numPr>
        <w:tabs>
          <w:tab w:val="left" w:pos="284"/>
        </w:tabs>
        <w:suppressAutoHyphens/>
        <w:overflowPunct w:val="0"/>
        <w:spacing w:after="0" w:line="240" w:lineRule="auto"/>
        <w:ind w:left="284" w:hanging="284"/>
        <w:jc w:val="both"/>
        <w:rPr>
          <w:rFonts w:cstheme="minorHAnsi"/>
        </w:rPr>
      </w:pPr>
      <w:r w:rsidRPr="00AB4821">
        <w:rPr>
          <w:rFonts w:eastAsia="Times New Roman" w:cstheme="minorHAnsi"/>
        </w:rPr>
        <w:t xml:space="preserve">dioda LED na panelu czołowym sygnalizujących stan wejść i wyjść, sygnał komunikacji GSM, GPRS GPS, stan zasilania, </w:t>
      </w:r>
    </w:p>
    <w:p w:rsidR="00AB4821" w:rsidRPr="00AB4821" w:rsidRDefault="00AB4821" w:rsidP="00AB4821">
      <w:pPr>
        <w:numPr>
          <w:ilvl w:val="0"/>
          <w:numId w:val="25"/>
        </w:numPr>
        <w:tabs>
          <w:tab w:val="left" w:pos="284"/>
        </w:tabs>
        <w:suppressAutoHyphens/>
        <w:overflowPunct w:val="0"/>
        <w:spacing w:after="0" w:line="240" w:lineRule="auto"/>
        <w:ind w:left="0" w:firstLine="0"/>
        <w:jc w:val="both"/>
        <w:rPr>
          <w:rFonts w:cstheme="minorHAnsi"/>
        </w:rPr>
      </w:pPr>
      <w:r w:rsidRPr="00AB4821">
        <w:rPr>
          <w:rFonts w:eastAsia="Times New Roman" w:cstheme="minorHAnsi"/>
        </w:rPr>
        <w:t>lokalnego interfejsu użytkownika: umożliwiający bezpośrednią obsługę i regulację sterownika,</w:t>
      </w:r>
    </w:p>
    <w:p w:rsidR="00AB4821" w:rsidRPr="00AB4821" w:rsidRDefault="00AB4821" w:rsidP="00AB4821">
      <w:pPr>
        <w:numPr>
          <w:ilvl w:val="0"/>
          <w:numId w:val="25"/>
        </w:numPr>
        <w:tabs>
          <w:tab w:val="left" w:pos="284"/>
        </w:tabs>
        <w:suppressAutoHyphens/>
        <w:overflowPunct w:val="0"/>
        <w:spacing w:after="0" w:line="240" w:lineRule="auto"/>
        <w:ind w:left="0" w:firstLine="0"/>
        <w:jc w:val="both"/>
        <w:rPr>
          <w:rFonts w:cstheme="minorHAnsi"/>
        </w:rPr>
      </w:pPr>
      <w:r w:rsidRPr="00AB4821">
        <w:rPr>
          <w:rFonts w:eastAsia="Times New Roman" w:cstheme="minorHAnsi"/>
        </w:rPr>
        <w:t>anteny GPS: zewnętrzna z gniazdem, dostarcza ze sterownikiem w komplecie,</w:t>
      </w:r>
    </w:p>
    <w:p w:rsidR="00AB4821" w:rsidRPr="00AB4821" w:rsidRDefault="00AB4821" w:rsidP="00AB4821">
      <w:pPr>
        <w:numPr>
          <w:ilvl w:val="0"/>
          <w:numId w:val="25"/>
        </w:numPr>
        <w:tabs>
          <w:tab w:val="left" w:pos="284"/>
        </w:tabs>
        <w:suppressAutoHyphens/>
        <w:overflowPunct w:val="0"/>
        <w:spacing w:after="0" w:line="240" w:lineRule="auto"/>
        <w:ind w:left="0" w:firstLine="0"/>
        <w:jc w:val="both"/>
        <w:rPr>
          <w:rFonts w:cstheme="minorHAnsi"/>
        </w:rPr>
      </w:pPr>
      <w:r w:rsidRPr="00AB4821">
        <w:rPr>
          <w:rFonts w:eastAsia="Times New Roman" w:cstheme="minorHAnsi"/>
        </w:rPr>
        <w:t>anteny GSM: zewnętrzna z gniazdem, dostarcza ze sterownikiem w komplecie,</w:t>
      </w:r>
    </w:p>
    <w:p w:rsidR="00AB4821" w:rsidRPr="00AB4821" w:rsidRDefault="00AB4821" w:rsidP="00AB4821">
      <w:pPr>
        <w:numPr>
          <w:ilvl w:val="0"/>
          <w:numId w:val="25"/>
        </w:numPr>
        <w:tabs>
          <w:tab w:val="left" w:pos="284"/>
        </w:tabs>
        <w:suppressAutoHyphens/>
        <w:overflowPunct w:val="0"/>
        <w:spacing w:after="0" w:line="240" w:lineRule="auto"/>
        <w:ind w:left="0" w:firstLine="0"/>
        <w:jc w:val="both"/>
        <w:rPr>
          <w:rFonts w:cstheme="minorHAnsi"/>
        </w:rPr>
      </w:pPr>
      <w:r w:rsidRPr="00AB4821">
        <w:rPr>
          <w:rFonts w:eastAsia="Times New Roman" w:cstheme="minorHAnsi"/>
        </w:rPr>
        <w:t xml:space="preserve">wbudowanego odbiornika GPS, wbudowanego modemu GPRS, </w:t>
      </w:r>
    </w:p>
    <w:p w:rsidR="00AB4821" w:rsidRPr="00AB4821" w:rsidRDefault="00AB4821" w:rsidP="00AB4821">
      <w:pPr>
        <w:numPr>
          <w:ilvl w:val="0"/>
          <w:numId w:val="25"/>
        </w:numPr>
        <w:tabs>
          <w:tab w:val="left" w:pos="284"/>
        </w:tabs>
        <w:suppressAutoHyphens/>
        <w:overflowPunct w:val="0"/>
        <w:spacing w:after="0" w:line="240" w:lineRule="auto"/>
        <w:ind w:left="284" w:hanging="284"/>
        <w:jc w:val="both"/>
        <w:rPr>
          <w:rFonts w:cstheme="minorHAnsi"/>
        </w:rPr>
      </w:pPr>
      <w:r w:rsidRPr="00AB4821">
        <w:rPr>
          <w:rFonts w:eastAsia="Times New Roman" w:cstheme="minorHAnsi"/>
        </w:rPr>
        <w:t xml:space="preserve">dodatkowej możliwości wyposażenia sterownika w port szeregowy do komunikacji </w:t>
      </w:r>
      <w:r w:rsidRPr="00AB4821">
        <w:rPr>
          <w:rFonts w:eastAsia="Times New Roman" w:cstheme="minorHAnsi"/>
        </w:rPr>
        <w:br/>
        <w:t>z licznikiem energii elektrycznej,</w:t>
      </w:r>
    </w:p>
    <w:p w:rsidR="00AB4821" w:rsidRPr="00AB4821" w:rsidRDefault="00AB4821" w:rsidP="00AB4821">
      <w:pPr>
        <w:numPr>
          <w:ilvl w:val="0"/>
          <w:numId w:val="25"/>
        </w:numPr>
        <w:tabs>
          <w:tab w:val="left" w:pos="284"/>
        </w:tabs>
        <w:suppressAutoHyphens/>
        <w:overflowPunct w:val="0"/>
        <w:spacing w:after="0" w:line="240" w:lineRule="auto"/>
        <w:ind w:left="0" w:firstLine="0"/>
        <w:jc w:val="both"/>
        <w:rPr>
          <w:rFonts w:cstheme="minorHAnsi"/>
        </w:rPr>
      </w:pPr>
      <w:r w:rsidRPr="00AB4821">
        <w:rPr>
          <w:rFonts w:cstheme="minorHAnsi"/>
        </w:rPr>
        <w:t>wejść/wyjść przewodowych sterujących: min. 3,</w:t>
      </w:r>
    </w:p>
    <w:p w:rsidR="00AB4821" w:rsidRPr="00AB4821" w:rsidRDefault="00AB4821" w:rsidP="00AB4821">
      <w:pPr>
        <w:spacing w:line="360" w:lineRule="auto"/>
        <w:jc w:val="both"/>
        <w:rPr>
          <w:rFonts w:cstheme="minorHAnsi"/>
          <w:b/>
          <w:bCs/>
        </w:rPr>
      </w:pPr>
    </w:p>
    <w:p w:rsidR="00AB4821" w:rsidRPr="00AB4821" w:rsidRDefault="00AB4821" w:rsidP="00E03EE5">
      <w:pPr>
        <w:spacing w:line="240" w:lineRule="auto"/>
        <w:jc w:val="both"/>
        <w:rPr>
          <w:rFonts w:cstheme="minorHAnsi"/>
          <w:b/>
          <w:bCs/>
        </w:rPr>
      </w:pPr>
      <w:r w:rsidRPr="00AB4821">
        <w:rPr>
          <w:rFonts w:cstheme="minorHAnsi"/>
          <w:b/>
          <w:bCs/>
        </w:rPr>
        <w:t>Parametry sterownika:</w:t>
      </w:r>
    </w:p>
    <w:p w:rsidR="00AB4821" w:rsidRPr="00AB4821" w:rsidRDefault="00AB4821" w:rsidP="00E03EE5">
      <w:pPr>
        <w:numPr>
          <w:ilvl w:val="0"/>
          <w:numId w:val="27"/>
        </w:numPr>
        <w:tabs>
          <w:tab w:val="left" w:pos="396"/>
        </w:tabs>
        <w:suppressAutoHyphens/>
        <w:overflowPunct w:val="0"/>
        <w:spacing w:after="0" w:line="240" w:lineRule="auto"/>
        <w:ind w:left="0" w:firstLine="0"/>
        <w:jc w:val="both"/>
        <w:rPr>
          <w:rFonts w:cstheme="minorHAnsi"/>
        </w:rPr>
      </w:pPr>
      <w:r w:rsidRPr="00AB4821">
        <w:rPr>
          <w:rFonts w:cstheme="minorHAnsi"/>
        </w:rPr>
        <w:t xml:space="preserve">Zasilanie: 120-230V + -10%, 45 </w:t>
      </w:r>
      <w:proofErr w:type="spellStart"/>
      <w:r w:rsidRPr="00AB4821">
        <w:rPr>
          <w:rFonts w:cstheme="minorHAnsi"/>
        </w:rPr>
        <w:t>Hz</w:t>
      </w:r>
      <w:proofErr w:type="spellEnd"/>
      <w:r w:rsidRPr="00AB4821">
        <w:rPr>
          <w:rFonts w:cstheme="minorHAnsi"/>
        </w:rPr>
        <w:t xml:space="preserve"> - 65 </w:t>
      </w:r>
      <w:proofErr w:type="spellStart"/>
      <w:r w:rsidRPr="00AB4821">
        <w:rPr>
          <w:rFonts w:cstheme="minorHAnsi"/>
        </w:rPr>
        <w:t>Hz</w:t>
      </w:r>
      <w:proofErr w:type="spellEnd"/>
      <w:r w:rsidRPr="00AB4821">
        <w:rPr>
          <w:rFonts w:cstheme="minorHAnsi"/>
        </w:rPr>
        <w:t>.</w:t>
      </w:r>
    </w:p>
    <w:p w:rsidR="00AB4821" w:rsidRPr="00AB4821" w:rsidRDefault="00AB4821" w:rsidP="00E03EE5">
      <w:pPr>
        <w:numPr>
          <w:ilvl w:val="0"/>
          <w:numId w:val="27"/>
        </w:numPr>
        <w:tabs>
          <w:tab w:val="left" w:pos="396"/>
        </w:tabs>
        <w:suppressAutoHyphens/>
        <w:overflowPunct w:val="0"/>
        <w:spacing w:after="0" w:line="240" w:lineRule="auto"/>
        <w:ind w:left="426" w:hanging="426"/>
        <w:jc w:val="both"/>
        <w:rPr>
          <w:rFonts w:cstheme="minorHAnsi"/>
        </w:rPr>
      </w:pPr>
      <w:r w:rsidRPr="00AB4821">
        <w:rPr>
          <w:rFonts w:cstheme="minorHAnsi"/>
        </w:rPr>
        <w:t xml:space="preserve">temperatura pracy: -20 + 70 </w:t>
      </w:r>
      <w:r w:rsidRPr="00AB4821">
        <w:rPr>
          <w:rFonts w:eastAsia="Times New Roman" w:cstheme="minorHAnsi"/>
        </w:rPr>
        <w:t>ºC, urządzenie winno być dostosowane do pracy w obudowie niepodgrzewanej,</w:t>
      </w:r>
    </w:p>
    <w:p w:rsidR="00AB4821" w:rsidRPr="00AB4821" w:rsidRDefault="00AB4821" w:rsidP="00E03EE5">
      <w:pPr>
        <w:numPr>
          <w:ilvl w:val="0"/>
          <w:numId w:val="27"/>
        </w:numPr>
        <w:tabs>
          <w:tab w:val="left" w:pos="396"/>
        </w:tabs>
        <w:suppressAutoHyphens/>
        <w:overflowPunct w:val="0"/>
        <w:spacing w:after="0" w:line="240" w:lineRule="auto"/>
        <w:ind w:left="0" w:firstLine="0"/>
        <w:rPr>
          <w:rFonts w:cstheme="minorHAnsi"/>
          <w:lang w:val="en-US"/>
        </w:rPr>
      </w:pPr>
      <w:r w:rsidRPr="00AB4821">
        <w:rPr>
          <w:rFonts w:cstheme="minorHAnsi"/>
          <w:lang w:val="en-US"/>
        </w:rPr>
        <w:t xml:space="preserve">CAN L, CANH: 12V / 250 </w:t>
      </w:r>
      <w:proofErr w:type="spellStart"/>
      <w:r w:rsidRPr="00AB4821">
        <w:rPr>
          <w:rFonts w:cstheme="minorHAnsi"/>
          <w:lang w:val="en-US"/>
        </w:rPr>
        <w:t>Kbauds</w:t>
      </w:r>
      <w:proofErr w:type="spellEnd"/>
      <w:r w:rsidRPr="00AB4821">
        <w:rPr>
          <w:rFonts w:cstheme="minorHAnsi"/>
          <w:lang w:val="en-US"/>
        </w:rPr>
        <w:t>,</w:t>
      </w:r>
    </w:p>
    <w:p w:rsidR="00AB4821" w:rsidRPr="00AB4821" w:rsidRDefault="00AB4821" w:rsidP="00E03EE5">
      <w:pPr>
        <w:numPr>
          <w:ilvl w:val="0"/>
          <w:numId w:val="27"/>
        </w:numPr>
        <w:tabs>
          <w:tab w:val="left" w:pos="396"/>
        </w:tabs>
        <w:suppressAutoHyphens/>
        <w:overflowPunct w:val="0"/>
        <w:spacing w:after="0" w:line="240" w:lineRule="auto"/>
        <w:ind w:left="0" w:firstLine="0"/>
        <w:rPr>
          <w:rFonts w:cstheme="minorHAnsi"/>
        </w:rPr>
      </w:pPr>
      <w:r w:rsidRPr="00AB4821">
        <w:rPr>
          <w:rFonts w:cstheme="minorHAnsi"/>
        </w:rPr>
        <w:t>A, B, C, COM: Wejścia impulsowe (EN62053-31),</w:t>
      </w:r>
    </w:p>
    <w:p w:rsidR="00AB4821" w:rsidRPr="00AB4821" w:rsidRDefault="00AB4821" w:rsidP="00E03EE5">
      <w:pPr>
        <w:numPr>
          <w:ilvl w:val="0"/>
          <w:numId w:val="27"/>
        </w:numPr>
        <w:tabs>
          <w:tab w:val="left" w:pos="396"/>
        </w:tabs>
        <w:suppressAutoHyphens/>
        <w:overflowPunct w:val="0"/>
        <w:spacing w:after="0" w:line="240" w:lineRule="auto"/>
        <w:ind w:left="0" w:firstLine="0"/>
        <w:rPr>
          <w:rFonts w:cstheme="minorHAnsi"/>
        </w:rPr>
      </w:pPr>
      <w:r w:rsidRPr="00AB4821">
        <w:rPr>
          <w:rFonts w:cstheme="minorHAnsi"/>
        </w:rPr>
        <w:t>IN1, IN2: Wejścia kontaktów wolnych od napięcia 5V/10mA,</w:t>
      </w:r>
    </w:p>
    <w:p w:rsidR="00AB4821" w:rsidRPr="00AB4821" w:rsidRDefault="00AB4821" w:rsidP="00E03EE5">
      <w:pPr>
        <w:numPr>
          <w:ilvl w:val="0"/>
          <w:numId w:val="27"/>
        </w:numPr>
        <w:tabs>
          <w:tab w:val="left" w:pos="396"/>
        </w:tabs>
        <w:suppressAutoHyphens/>
        <w:overflowPunct w:val="0"/>
        <w:spacing w:after="0" w:line="240" w:lineRule="auto"/>
        <w:ind w:left="0" w:firstLine="0"/>
        <w:rPr>
          <w:rFonts w:cstheme="minorHAnsi"/>
        </w:rPr>
      </w:pPr>
      <w:r w:rsidRPr="00AB4821">
        <w:rPr>
          <w:rFonts w:cstheme="minorHAnsi"/>
        </w:rPr>
        <w:t xml:space="preserve">ANA, ANA +: Wejście 4-20mA (R </w:t>
      </w:r>
      <w:proofErr w:type="spellStart"/>
      <w:r w:rsidRPr="00AB4821">
        <w:rPr>
          <w:rFonts w:cstheme="minorHAnsi"/>
        </w:rPr>
        <w:t>input</w:t>
      </w:r>
      <w:proofErr w:type="spellEnd"/>
      <w:r w:rsidRPr="00AB4821">
        <w:rPr>
          <w:rFonts w:cstheme="minorHAnsi"/>
        </w:rPr>
        <w:t xml:space="preserve"> = 500),</w:t>
      </w:r>
    </w:p>
    <w:p w:rsidR="00AB4821" w:rsidRPr="00AB4821" w:rsidRDefault="00AB4821" w:rsidP="00E03EE5">
      <w:pPr>
        <w:numPr>
          <w:ilvl w:val="0"/>
          <w:numId w:val="27"/>
        </w:numPr>
        <w:tabs>
          <w:tab w:val="left" w:pos="396"/>
        </w:tabs>
        <w:suppressAutoHyphens/>
        <w:overflowPunct w:val="0"/>
        <w:spacing w:after="0" w:line="240" w:lineRule="auto"/>
        <w:ind w:left="0" w:firstLine="0"/>
        <w:rPr>
          <w:rFonts w:cstheme="minorHAnsi"/>
        </w:rPr>
      </w:pPr>
      <w:r w:rsidRPr="00AB4821">
        <w:rPr>
          <w:rFonts w:cstheme="minorHAnsi"/>
        </w:rPr>
        <w:t>Wymiary. Fazy A, B, C: Wejścia 80/250V ~ (dokładność ± 1%),</w:t>
      </w:r>
    </w:p>
    <w:p w:rsidR="00AB4821" w:rsidRPr="00AB4821" w:rsidRDefault="00AB4821" w:rsidP="00E03EE5">
      <w:pPr>
        <w:numPr>
          <w:ilvl w:val="0"/>
          <w:numId w:val="27"/>
        </w:numPr>
        <w:tabs>
          <w:tab w:val="left" w:pos="396"/>
        </w:tabs>
        <w:suppressAutoHyphens/>
        <w:overflowPunct w:val="0"/>
        <w:spacing w:after="0" w:line="240" w:lineRule="auto"/>
        <w:ind w:left="0" w:firstLine="0"/>
        <w:rPr>
          <w:rFonts w:cstheme="minorHAnsi"/>
        </w:rPr>
      </w:pPr>
      <w:r w:rsidRPr="00AB4821">
        <w:rPr>
          <w:rFonts w:cstheme="minorHAnsi"/>
        </w:rPr>
        <w:t>Wyjście K: kontakt pod napięciem NO (250V ~ 6A),</w:t>
      </w:r>
    </w:p>
    <w:p w:rsidR="00AB4821" w:rsidRPr="00AB4821" w:rsidRDefault="00AB4821" w:rsidP="00E03EE5">
      <w:pPr>
        <w:numPr>
          <w:ilvl w:val="0"/>
          <w:numId w:val="27"/>
        </w:numPr>
        <w:tabs>
          <w:tab w:val="left" w:pos="396"/>
        </w:tabs>
        <w:suppressAutoHyphens/>
        <w:overflowPunct w:val="0"/>
        <w:spacing w:after="0" w:line="240" w:lineRule="auto"/>
        <w:ind w:left="0" w:firstLine="0"/>
        <w:rPr>
          <w:rFonts w:cstheme="minorHAnsi"/>
        </w:rPr>
      </w:pPr>
      <w:r w:rsidRPr="00AB4821">
        <w:rPr>
          <w:rFonts w:cstheme="minorHAnsi"/>
        </w:rPr>
        <w:t>GSM gniazdo: męskie FME,</w:t>
      </w:r>
    </w:p>
    <w:p w:rsidR="00AB4821" w:rsidRPr="00AB4821" w:rsidRDefault="00AB4821" w:rsidP="00E03EE5">
      <w:pPr>
        <w:numPr>
          <w:ilvl w:val="0"/>
          <w:numId w:val="27"/>
        </w:numPr>
        <w:tabs>
          <w:tab w:val="left" w:pos="396"/>
        </w:tabs>
        <w:suppressAutoHyphens/>
        <w:overflowPunct w:val="0"/>
        <w:spacing w:after="0" w:line="240" w:lineRule="auto"/>
        <w:ind w:left="0" w:firstLine="0"/>
        <w:rPr>
          <w:rFonts w:cstheme="minorHAnsi"/>
        </w:rPr>
      </w:pPr>
      <w:r w:rsidRPr="00AB4821">
        <w:rPr>
          <w:rFonts w:cstheme="minorHAnsi"/>
        </w:rPr>
        <w:t>GSM / GPRS: 850, 900, 1800, 1900 MHz,</w:t>
      </w:r>
    </w:p>
    <w:p w:rsidR="00AB4821" w:rsidRPr="00AB4821" w:rsidRDefault="00AB4821" w:rsidP="00AB4821">
      <w:pPr>
        <w:numPr>
          <w:ilvl w:val="0"/>
          <w:numId w:val="27"/>
        </w:numPr>
        <w:tabs>
          <w:tab w:val="left" w:pos="396"/>
        </w:tabs>
        <w:suppressAutoHyphens/>
        <w:overflowPunct w:val="0"/>
        <w:spacing w:after="0" w:line="240" w:lineRule="auto"/>
        <w:ind w:left="0" w:firstLine="0"/>
        <w:rPr>
          <w:rFonts w:cstheme="minorHAnsi"/>
        </w:rPr>
      </w:pPr>
      <w:r w:rsidRPr="00AB4821">
        <w:rPr>
          <w:rFonts w:cstheme="minorHAnsi"/>
        </w:rPr>
        <w:t>Zabezpieczenie: Bezpiecznik wewnętrzny,</w:t>
      </w:r>
    </w:p>
    <w:p w:rsidR="00AB4821" w:rsidRPr="00AB4821" w:rsidRDefault="00AB4821" w:rsidP="00AB4821">
      <w:pPr>
        <w:numPr>
          <w:ilvl w:val="0"/>
          <w:numId w:val="27"/>
        </w:numPr>
        <w:tabs>
          <w:tab w:val="left" w:pos="396"/>
        </w:tabs>
        <w:suppressAutoHyphens/>
        <w:overflowPunct w:val="0"/>
        <w:spacing w:after="0" w:line="240" w:lineRule="auto"/>
        <w:ind w:left="0" w:firstLine="0"/>
        <w:rPr>
          <w:rFonts w:cstheme="minorHAnsi"/>
        </w:rPr>
      </w:pPr>
      <w:r w:rsidRPr="00AB4821">
        <w:rPr>
          <w:rFonts w:cstheme="minorHAnsi"/>
        </w:rPr>
        <w:t>Obudowa: IP 20,</w:t>
      </w:r>
    </w:p>
    <w:p w:rsidR="00AB4821" w:rsidRPr="00AB4821" w:rsidRDefault="00AB4821" w:rsidP="00AB4821">
      <w:pPr>
        <w:numPr>
          <w:ilvl w:val="0"/>
          <w:numId w:val="27"/>
        </w:numPr>
        <w:tabs>
          <w:tab w:val="left" w:pos="396"/>
        </w:tabs>
        <w:suppressAutoHyphens/>
        <w:overflowPunct w:val="0"/>
        <w:spacing w:after="0" w:line="240" w:lineRule="auto"/>
        <w:ind w:left="0" w:firstLine="0"/>
        <w:rPr>
          <w:rFonts w:cstheme="minorHAnsi"/>
        </w:rPr>
      </w:pPr>
      <w:r w:rsidRPr="00AB4821">
        <w:rPr>
          <w:rFonts w:cstheme="minorHAnsi"/>
        </w:rPr>
        <w:t>Mocowanie: na szynie DIN EN 60715 TH35,</w:t>
      </w:r>
    </w:p>
    <w:p w:rsidR="00AB4821" w:rsidRPr="00AB4821" w:rsidRDefault="00AB4821" w:rsidP="00AB4821">
      <w:pPr>
        <w:spacing w:line="240" w:lineRule="auto"/>
        <w:jc w:val="both"/>
        <w:rPr>
          <w:rFonts w:cstheme="minorHAnsi"/>
          <w:b/>
        </w:rPr>
      </w:pPr>
    </w:p>
    <w:p w:rsidR="00AB4821" w:rsidRPr="00AB4821" w:rsidRDefault="00AB4821" w:rsidP="00AB4821">
      <w:pPr>
        <w:spacing w:line="240" w:lineRule="auto"/>
        <w:jc w:val="both"/>
        <w:rPr>
          <w:rFonts w:cstheme="minorHAnsi"/>
          <w:b/>
        </w:rPr>
      </w:pPr>
      <w:r w:rsidRPr="00AB4821">
        <w:rPr>
          <w:rFonts w:cstheme="minorHAnsi"/>
          <w:b/>
        </w:rPr>
        <w:lastRenderedPageBreak/>
        <w:t>Sterownik powinien posiadać:</w:t>
      </w:r>
    </w:p>
    <w:p w:rsidR="00AB4821" w:rsidRPr="00AB4821" w:rsidRDefault="00AB4821" w:rsidP="00AB4821">
      <w:pPr>
        <w:numPr>
          <w:ilvl w:val="0"/>
          <w:numId w:val="28"/>
        </w:numPr>
        <w:suppressAutoHyphens/>
        <w:overflowPunct w:val="0"/>
        <w:spacing w:after="0" w:line="240" w:lineRule="auto"/>
        <w:ind w:left="284" w:hanging="284"/>
        <w:jc w:val="both"/>
        <w:rPr>
          <w:rFonts w:cstheme="minorHAnsi"/>
        </w:rPr>
      </w:pPr>
      <w:r w:rsidRPr="00AB4821">
        <w:rPr>
          <w:rFonts w:cstheme="minorHAnsi"/>
        </w:rPr>
        <w:t>automatyczny, zależny od położenia geograficznego wybór strefy czasowej adekwatnej do przewidywanej lokalizacji i podtrzymanie ustawień w przypadku zaniku napięcia,</w:t>
      </w:r>
    </w:p>
    <w:p w:rsidR="00AB4821" w:rsidRPr="00AB4821" w:rsidRDefault="00AB4821" w:rsidP="00AB4821">
      <w:pPr>
        <w:numPr>
          <w:ilvl w:val="0"/>
          <w:numId w:val="28"/>
        </w:numPr>
        <w:tabs>
          <w:tab w:val="left" w:pos="732"/>
        </w:tabs>
        <w:suppressAutoHyphens/>
        <w:overflowPunct w:val="0"/>
        <w:spacing w:after="0" w:line="240" w:lineRule="auto"/>
        <w:ind w:left="284" w:hanging="284"/>
        <w:jc w:val="both"/>
        <w:rPr>
          <w:rFonts w:cstheme="minorHAnsi"/>
        </w:rPr>
      </w:pPr>
      <w:r w:rsidRPr="00AB4821">
        <w:rPr>
          <w:rFonts w:eastAsia="Times New Roman" w:cstheme="minorHAnsi"/>
        </w:rPr>
        <w:t>funkcję zegara astronomicznego: godziny wschodów i zachodów słońca muszą być obliczane bezobsługowo - przez sterownik,</w:t>
      </w:r>
    </w:p>
    <w:p w:rsidR="00AB4821" w:rsidRPr="00AB4821" w:rsidRDefault="00AB4821" w:rsidP="00AB4821">
      <w:pPr>
        <w:numPr>
          <w:ilvl w:val="0"/>
          <w:numId w:val="28"/>
        </w:numPr>
        <w:tabs>
          <w:tab w:val="left" w:pos="732"/>
        </w:tabs>
        <w:suppressAutoHyphens/>
        <w:overflowPunct w:val="0"/>
        <w:spacing w:after="0" w:line="240" w:lineRule="auto"/>
        <w:ind w:left="284" w:hanging="284"/>
        <w:jc w:val="both"/>
        <w:rPr>
          <w:rFonts w:cstheme="minorHAnsi"/>
        </w:rPr>
      </w:pPr>
      <w:r w:rsidRPr="00AB4821">
        <w:rPr>
          <w:rFonts w:cstheme="minorHAnsi"/>
        </w:rPr>
        <w:t>wejście na fotoelement: dodatkowe, rezystancje,</w:t>
      </w:r>
    </w:p>
    <w:p w:rsidR="00AB4821" w:rsidRPr="00AB4821" w:rsidRDefault="00AB4821" w:rsidP="00AB4821">
      <w:pPr>
        <w:numPr>
          <w:ilvl w:val="0"/>
          <w:numId w:val="28"/>
        </w:numPr>
        <w:tabs>
          <w:tab w:val="left" w:pos="732"/>
        </w:tabs>
        <w:suppressAutoHyphens/>
        <w:overflowPunct w:val="0"/>
        <w:spacing w:after="0" w:line="240" w:lineRule="auto"/>
        <w:ind w:left="284" w:hanging="284"/>
        <w:jc w:val="both"/>
        <w:rPr>
          <w:rFonts w:cstheme="minorHAnsi"/>
        </w:rPr>
      </w:pPr>
      <w:r w:rsidRPr="00AB4821">
        <w:rPr>
          <w:rFonts w:eastAsia="Times New Roman" w:cstheme="minorHAnsi"/>
        </w:rPr>
        <w:t>zmianę czasu letniego/zimowego: automatyczną,</w:t>
      </w:r>
    </w:p>
    <w:p w:rsidR="00AB4821" w:rsidRPr="00AB4821" w:rsidRDefault="00AB4821" w:rsidP="00AB4821">
      <w:pPr>
        <w:numPr>
          <w:ilvl w:val="0"/>
          <w:numId w:val="28"/>
        </w:numPr>
        <w:tabs>
          <w:tab w:val="left" w:pos="732"/>
        </w:tabs>
        <w:suppressAutoHyphens/>
        <w:overflowPunct w:val="0"/>
        <w:spacing w:after="0" w:line="240" w:lineRule="auto"/>
        <w:ind w:left="284" w:hanging="284"/>
        <w:jc w:val="both"/>
        <w:rPr>
          <w:rFonts w:cstheme="minorHAnsi"/>
        </w:rPr>
      </w:pPr>
      <w:r w:rsidRPr="00AB4821">
        <w:rPr>
          <w:rFonts w:cstheme="minorHAnsi"/>
        </w:rPr>
        <w:t xml:space="preserve">pozycjonowanie zegara astronomicznego: automatyczne, odczyt z wbudowanego odbiornika GPS, </w:t>
      </w:r>
    </w:p>
    <w:p w:rsidR="00AB4821" w:rsidRPr="00AB4821" w:rsidRDefault="00AB4821" w:rsidP="00AB4821">
      <w:pPr>
        <w:numPr>
          <w:ilvl w:val="0"/>
          <w:numId w:val="28"/>
        </w:numPr>
        <w:tabs>
          <w:tab w:val="left" w:pos="732"/>
        </w:tabs>
        <w:suppressAutoHyphens/>
        <w:overflowPunct w:val="0"/>
        <w:spacing w:after="0" w:line="240" w:lineRule="auto"/>
        <w:ind w:left="284" w:hanging="284"/>
        <w:jc w:val="both"/>
        <w:rPr>
          <w:rFonts w:cstheme="minorHAnsi"/>
        </w:rPr>
      </w:pPr>
      <w:r w:rsidRPr="00AB4821">
        <w:rPr>
          <w:rFonts w:cstheme="minorHAnsi"/>
        </w:rPr>
        <w:t xml:space="preserve">okresowe korekty wschodów i zachodów słońca: bezobsługowa, autoregulacja całoroczna, </w:t>
      </w:r>
    </w:p>
    <w:p w:rsidR="00AB4821" w:rsidRPr="00AB4821" w:rsidRDefault="00AB4821" w:rsidP="00AB4821">
      <w:pPr>
        <w:numPr>
          <w:ilvl w:val="0"/>
          <w:numId w:val="28"/>
        </w:numPr>
        <w:tabs>
          <w:tab w:val="left" w:pos="732"/>
        </w:tabs>
        <w:suppressAutoHyphens/>
        <w:overflowPunct w:val="0"/>
        <w:spacing w:after="0" w:line="240" w:lineRule="auto"/>
        <w:ind w:left="284" w:hanging="284"/>
        <w:jc w:val="both"/>
        <w:rPr>
          <w:rFonts w:cstheme="minorHAnsi"/>
        </w:rPr>
      </w:pPr>
      <w:r w:rsidRPr="00AB4821">
        <w:rPr>
          <w:rFonts w:cstheme="minorHAnsi"/>
        </w:rPr>
        <w:t>synchronizacja czasu (rzeczywistego): be</w:t>
      </w:r>
      <w:r w:rsidR="007F6EF6">
        <w:rPr>
          <w:rFonts w:cstheme="minorHAnsi"/>
        </w:rPr>
        <w:t xml:space="preserve">zobsługowa autoregulacja czasu </w:t>
      </w:r>
      <w:r w:rsidRPr="00AB4821">
        <w:rPr>
          <w:rFonts w:cstheme="minorHAnsi"/>
        </w:rPr>
        <w:t>z wbudowanego odbiornika GPS,</w:t>
      </w:r>
    </w:p>
    <w:p w:rsidR="00AB4821" w:rsidRPr="00AB4821" w:rsidRDefault="00AB4821" w:rsidP="00AB4821">
      <w:pPr>
        <w:numPr>
          <w:ilvl w:val="0"/>
          <w:numId w:val="28"/>
        </w:numPr>
        <w:tabs>
          <w:tab w:val="left" w:pos="732"/>
        </w:tabs>
        <w:suppressAutoHyphens/>
        <w:overflowPunct w:val="0"/>
        <w:spacing w:after="0" w:line="240" w:lineRule="auto"/>
        <w:ind w:left="284" w:hanging="284"/>
        <w:jc w:val="both"/>
        <w:rPr>
          <w:rFonts w:cstheme="minorHAnsi"/>
        </w:rPr>
      </w:pPr>
      <w:r w:rsidRPr="00AB4821">
        <w:rPr>
          <w:rFonts w:cstheme="minorHAnsi"/>
        </w:rPr>
        <w:t>programator czasowy: możliwość zaprogramowania min. 4 przerw nocnych, niezależnie dla każdego dnia tygodnia, niezależnie dla każdego wyjścia sterującego, harmonogramy przerw nocnych powinny być dostępne do zdalnej regulacji z systemu nadrzędnego,</w:t>
      </w:r>
    </w:p>
    <w:p w:rsidR="00AB4821" w:rsidRPr="00AB4821" w:rsidRDefault="00AB4821" w:rsidP="00AB4821">
      <w:pPr>
        <w:numPr>
          <w:ilvl w:val="0"/>
          <w:numId w:val="28"/>
        </w:numPr>
        <w:tabs>
          <w:tab w:val="left" w:pos="732"/>
        </w:tabs>
        <w:suppressAutoHyphens/>
        <w:overflowPunct w:val="0"/>
        <w:spacing w:after="0" w:line="240" w:lineRule="auto"/>
        <w:ind w:left="284" w:hanging="284"/>
        <w:jc w:val="both"/>
        <w:rPr>
          <w:rFonts w:cstheme="minorHAnsi"/>
        </w:rPr>
      </w:pPr>
      <w:r w:rsidRPr="00AB4821">
        <w:rPr>
          <w:rFonts w:cstheme="minorHAnsi"/>
        </w:rPr>
        <w:t>obsługa sterownika/programowanie: zdalne, z klawiatury sterownika lub urządzenia przenośnego,</w:t>
      </w:r>
    </w:p>
    <w:p w:rsidR="00AB4821" w:rsidRPr="00AB4821" w:rsidRDefault="00AB4821" w:rsidP="00AB4821">
      <w:pPr>
        <w:numPr>
          <w:ilvl w:val="0"/>
          <w:numId w:val="28"/>
        </w:numPr>
        <w:tabs>
          <w:tab w:val="left" w:pos="732"/>
        </w:tabs>
        <w:suppressAutoHyphens/>
        <w:overflowPunct w:val="0"/>
        <w:spacing w:after="0" w:line="240" w:lineRule="auto"/>
        <w:ind w:left="284" w:hanging="284"/>
        <w:jc w:val="both"/>
        <w:rPr>
          <w:rFonts w:cstheme="minorHAnsi"/>
        </w:rPr>
      </w:pPr>
      <w:r w:rsidRPr="00AB4821">
        <w:rPr>
          <w:rFonts w:cstheme="minorHAnsi"/>
        </w:rPr>
        <w:t>bezpłatny program konfiguracyjny sterownika.</w:t>
      </w:r>
    </w:p>
    <w:p w:rsidR="007F6EF6" w:rsidRDefault="007F6EF6" w:rsidP="007F6EF6">
      <w:pPr>
        <w:spacing w:line="240" w:lineRule="auto"/>
        <w:jc w:val="both"/>
        <w:rPr>
          <w:rFonts w:cstheme="minorHAnsi"/>
        </w:rPr>
      </w:pPr>
    </w:p>
    <w:p w:rsidR="00AB4821" w:rsidRPr="00AB4821" w:rsidRDefault="00AB4821" w:rsidP="007F6EF6">
      <w:pPr>
        <w:spacing w:line="240" w:lineRule="auto"/>
        <w:jc w:val="both"/>
        <w:rPr>
          <w:rFonts w:cstheme="minorHAnsi"/>
        </w:rPr>
      </w:pPr>
      <w:bookmarkStart w:id="0" w:name="_GoBack"/>
      <w:bookmarkEnd w:id="0"/>
      <w:r w:rsidRPr="00AB4821">
        <w:rPr>
          <w:rFonts w:cstheme="minorHAnsi"/>
        </w:rPr>
        <w:t>Zainstalowany wewnątrz szafy oświetlenia sterownik winien pozwalać na całkowity monitoring w czasie rzeczywistym elementów szafy elektrycznej i wszystkich zdarzeń zachodzących w sieci oświetleniowej:</w:t>
      </w:r>
    </w:p>
    <w:p w:rsidR="00AB4821" w:rsidRPr="00AB4821" w:rsidRDefault="00AB4821" w:rsidP="00AB4821">
      <w:pPr>
        <w:numPr>
          <w:ilvl w:val="0"/>
          <w:numId w:val="26"/>
        </w:numPr>
        <w:tabs>
          <w:tab w:val="left" w:pos="396"/>
        </w:tabs>
        <w:suppressAutoHyphens/>
        <w:overflowPunct w:val="0"/>
        <w:spacing w:after="0" w:line="240" w:lineRule="auto"/>
        <w:ind w:left="284" w:hanging="284"/>
        <w:jc w:val="both"/>
        <w:rPr>
          <w:rFonts w:cstheme="minorHAnsi"/>
        </w:rPr>
      </w:pPr>
      <w:r w:rsidRPr="00AB4821">
        <w:rPr>
          <w:rFonts w:cstheme="minorHAnsi"/>
        </w:rPr>
        <w:t>załączanie/wyłączanie oświetlenia,</w:t>
      </w:r>
    </w:p>
    <w:p w:rsidR="00AB4821" w:rsidRPr="00AB4821" w:rsidRDefault="00AB4821" w:rsidP="00AB4821">
      <w:pPr>
        <w:numPr>
          <w:ilvl w:val="0"/>
          <w:numId w:val="26"/>
        </w:numPr>
        <w:tabs>
          <w:tab w:val="left" w:pos="396"/>
        </w:tabs>
        <w:suppressAutoHyphens/>
        <w:overflowPunct w:val="0"/>
        <w:spacing w:after="0" w:line="240" w:lineRule="auto"/>
        <w:ind w:left="284" w:hanging="284"/>
        <w:jc w:val="both"/>
        <w:rPr>
          <w:rFonts w:cstheme="minorHAnsi"/>
        </w:rPr>
      </w:pPr>
      <w:r w:rsidRPr="00AB4821">
        <w:rPr>
          <w:rFonts w:cstheme="minorHAnsi"/>
        </w:rPr>
        <w:t>pomiar zużycia energii codziennej, miesięcznej i/lub łącznej,</w:t>
      </w:r>
    </w:p>
    <w:p w:rsidR="00AB4821" w:rsidRPr="00AB4821" w:rsidRDefault="00AB4821" w:rsidP="00AB4821">
      <w:pPr>
        <w:numPr>
          <w:ilvl w:val="0"/>
          <w:numId w:val="26"/>
        </w:numPr>
        <w:tabs>
          <w:tab w:val="left" w:pos="396"/>
        </w:tabs>
        <w:suppressAutoHyphens/>
        <w:overflowPunct w:val="0"/>
        <w:spacing w:after="0" w:line="240" w:lineRule="auto"/>
        <w:ind w:left="284" w:hanging="284"/>
        <w:jc w:val="both"/>
        <w:rPr>
          <w:rFonts w:cstheme="minorHAnsi"/>
        </w:rPr>
      </w:pPr>
      <w:r w:rsidRPr="00AB4821">
        <w:rPr>
          <w:rFonts w:cstheme="minorHAnsi"/>
        </w:rPr>
        <w:t>pomiar napięcia zasilania i sieci oświetlenia,</w:t>
      </w:r>
    </w:p>
    <w:p w:rsidR="00AB4821" w:rsidRPr="00AB4821" w:rsidRDefault="00AB4821" w:rsidP="00AB4821">
      <w:pPr>
        <w:numPr>
          <w:ilvl w:val="0"/>
          <w:numId w:val="26"/>
        </w:numPr>
        <w:tabs>
          <w:tab w:val="left" w:pos="396"/>
        </w:tabs>
        <w:suppressAutoHyphens/>
        <w:overflowPunct w:val="0"/>
        <w:spacing w:after="0" w:line="240" w:lineRule="auto"/>
        <w:ind w:left="284" w:hanging="284"/>
        <w:jc w:val="both"/>
        <w:rPr>
          <w:rFonts w:cstheme="minorHAnsi"/>
        </w:rPr>
      </w:pPr>
      <w:r w:rsidRPr="00AB4821">
        <w:rPr>
          <w:rFonts w:cstheme="minorHAnsi"/>
        </w:rPr>
        <w:t>pomiar zużycia mocy czynnej, mocy biernej,</w:t>
      </w:r>
    </w:p>
    <w:p w:rsidR="00AB4821" w:rsidRPr="00AB4821" w:rsidRDefault="00AB4821" w:rsidP="00AB4821">
      <w:pPr>
        <w:numPr>
          <w:ilvl w:val="0"/>
          <w:numId w:val="26"/>
        </w:numPr>
        <w:tabs>
          <w:tab w:val="left" w:pos="396"/>
        </w:tabs>
        <w:suppressAutoHyphens/>
        <w:overflowPunct w:val="0"/>
        <w:spacing w:after="0" w:line="240" w:lineRule="auto"/>
        <w:ind w:left="284" w:hanging="284"/>
        <w:jc w:val="both"/>
        <w:rPr>
          <w:rFonts w:cstheme="minorHAnsi"/>
        </w:rPr>
      </w:pPr>
      <w:r w:rsidRPr="00AB4821">
        <w:rPr>
          <w:rFonts w:cstheme="minorHAnsi"/>
        </w:rPr>
        <w:t>nadzór nad stałością przepływu prądu w sieci,</w:t>
      </w:r>
    </w:p>
    <w:p w:rsidR="00AB4821" w:rsidRPr="00AB4821" w:rsidRDefault="00AB4821" w:rsidP="00AB4821">
      <w:pPr>
        <w:numPr>
          <w:ilvl w:val="0"/>
          <w:numId w:val="26"/>
        </w:numPr>
        <w:tabs>
          <w:tab w:val="left" w:pos="396"/>
        </w:tabs>
        <w:suppressAutoHyphens/>
        <w:overflowPunct w:val="0"/>
        <w:spacing w:after="0" w:line="240" w:lineRule="auto"/>
        <w:ind w:left="284" w:hanging="284"/>
        <w:jc w:val="both"/>
        <w:rPr>
          <w:rFonts w:cstheme="minorHAnsi"/>
        </w:rPr>
      </w:pPr>
      <w:r w:rsidRPr="00AB4821">
        <w:rPr>
          <w:rFonts w:cstheme="minorHAnsi"/>
        </w:rPr>
        <w:t xml:space="preserve">archiwizacja i wizualizacja danych alarmowych i pomiarowych, </w:t>
      </w:r>
    </w:p>
    <w:p w:rsidR="00AB4821" w:rsidRPr="00AB4821" w:rsidRDefault="00AB4821" w:rsidP="00AB4821">
      <w:pPr>
        <w:numPr>
          <w:ilvl w:val="0"/>
          <w:numId w:val="26"/>
        </w:numPr>
        <w:tabs>
          <w:tab w:val="left" w:pos="396"/>
        </w:tabs>
        <w:suppressAutoHyphens/>
        <w:overflowPunct w:val="0"/>
        <w:spacing w:after="0" w:line="240" w:lineRule="auto"/>
        <w:ind w:left="284" w:hanging="284"/>
        <w:jc w:val="both"/>
        <w:rPr>
          <w:rFonts w:cstheme="minorHAnsi"/>
        </w:rPr>
      </w:pPr>
      <w:r w:rsidRPr="00AB4821">
        <w:rPr>
          <w:rFonts w:cstheme="minorHAnsi"/>
        </w:rPr>
        <w:t>system raportowania,</w:t>
      </w:r>
    </w:p>
    <w:p w:rsidR="00AB4821" w:rsidRPr="00AB4821" w:rsidRDefault="00AB4821" w:rsidP="00AB4821">
      <w:pPr>
        <w:numPr>
          <w:ilvl w:val="0"/>
          <w:numId w:val="26"/>
        </w:numPr>
        <w:tabs>
          <w:tab w:val="left" w:pos="396"/>
        </w:tabs>
        <w:suppressAutoHyphens/>
        <w:overflowPunct w:val="0"/>
        <w:spacing w:after="0" w:line="240" w:lineRule="auto"/>
        <w:ind w:left="284" w:hanging="284"/>
        <w:jc w:val="both"/>
        <w:rPr>
          <w:rFonts w:cstheme="minorHAnsi"/>
        </w:rPr>
      </w:pPr>
      <w:r w:rsidRPr="00AB4821">
        <w:rPr>
          <w:rFonts w:cstheme="minorHAnsi"/>
        </w:rPr>
        <w:t>natychmiastową informację o wystąpieniu sytuacji alarmowych, tj. zaniku napięcia zasilania, zaniku poszczególnych faz, przekroczenia/obniżenia mocy, otwarć szafy,</w:t>
      </w:r>
    </w:p>
    <w:p w:rsidR="00AB4821" w:rsidRPr="00AB4821" w:rsidRDefault="00AB4821" w:rsidP="00AB4821">
      <w:pPr>
        <w:numPr>
          <w:ilvl w:val="0"/>
          <w:numId w:val="26"/>
        </w:numPr>
        <w:tabs>
          <w:tab w:val="left" w:pos="396"/>
        </w:tabs>
        <w:suppressAutoHyphens/>
        <w:overflowPunct w:val="0"/>
        <w:spacing w:after="0" w:line="240" w:lineRule="auto"/>
        <w:ind w:left="284" w:hanging="284"/>
        <w:jc w:val="both"/>
        <w:rPr>
          <w:rFonts w:cstheme="minorHAnsi"/>
        </w:rPr>
      </w:pPr>
      <w:r w:rsidRPr="00AB4821">
        <w:rPr>
          <w:rFonts w:cstheme="minorHAnsi"/>
        </w:rPr>
        <w:t>zdalne włączanie/wyłączanie oświetlenia podczas prac serwisowych,</w:t>
      </w:r>
    </w:p>
    <w:p w:rsidR="00AB4821" w:rsidRPr="00AB4821" w:rsidRDefault="00AB4821" w:rsidP="00AB4821">
      <w:pPr>
        <w:numPr>
          <w:ilvl w:val="0"/>
          <w:numId w:val="26"/>
        </w:numPr>
        <w:tabs>
          <w:tab w:val="left" w:pos="396"/>
        </w:tabs>
        <w:suppressAutoHyphens/>
        <w:overflowPunct w:val="0"/>
        <w:spacing w:after="0" w:line="240" w:lineRule="auto"/>
        <w:ind w:left="284" w:hanging="284"/>
        <w:jc w:val="both"/>
        <w:rPr>
          <w:rFonts w:cstheme="minorHAnsi"/>
        </w:rPr>
      </w:pPr>
      <w:r w:rsidRPr="00AB4821">
        <w:rPr>
          <w:rFonts w:cstheme="minorHAnsi"/>
        </w:rPr>
        <w:t>czas od wystąpienia awarii w rozdzielnicy oświetleniowej do czasu odwzorowania tej awarii na stanowisku diagnostycznym nie powinna przekraczać 30 sek.,</w:t>
      </w:r>
    </w:p>
    <w:p w:rsidR="00AB4821" w:rsidRPr="00AB4821" w:rsidRDefault="00AB4821" w:rsidP="00AB4821">
      <w:pPr>
        <w:numPr>
          <w:ilvl w:val="0"/>
          <w:numId w:val="26"/>
        </w:numPr>
        <w:tabs>
          <w:tab w:val="left" w:pos="396"/>
        </w:tabs>
        <w:suppressAutoHyphens/>
        <w:overflowPunct w:val="0"/>
        <w:spacing w:after="0" w:line="240" w:lineRule="auto"/>
        <w:ind w:left="284" w:hanging="284"/>
        <w:jc w:val="both"/>
        <w:rPr>
          <w:rFonts w:cstheme="minorHAnsi"/>
        </w:rPr>
      </w:pPr>
      <w:r w:rsidRPr="00AB4821">
        <w:rPr>
          <w:rFonts w:cstheme="minorHAnsi"/>
        </w:rPr>
        <w:t>wykrycie nadmiernego zużycia (zwarcie, przeciążenia),</w:t>
      </w:r>
    </w:p>
    <w:p w:rsidR="00AB4821" w:rsidRPr="00AB4821" w:rsidRDefault="00AB4821" w:rsidP="00AB4821">
      <w:pPr>
        <w:numPr>
          <w:ilvl w:val="0"/>
          <w:numId w:val="26"/>
        </w:numPr>
        <w:tabs>
          <w:tab w:val="left" w:pos="396"/>
        </w:tabs>
        <w:suppressAutoHyphens/>
        <w:overflowPunct w:val="0"/>
        <w:spacing w:after="0" w:line="240" w:lineRule="auto"/>
        <w:ind w:left="284" w:hanging="284"/>
        <w:jc w:val="both"/>
        <w:rPr>
          <w:rFonts w:cstheme="minorHAnsi"/>
        </w:rPr>
      </w:pPr>
      <w:r w:rsidRPr="00AB4821">
        <w:rPr>
          <w:rFonts w:cstheme="minorHAnsi"/>
        </w:rPr>
        <w:t xml:space="preserve">możliwość awaryjnego włączania/wyłączania oświetlenia SMS-em (z telefonu komórkowego lub strony www), </w:t>
      </w:r>
    </w:p>
    <w:p w:rsidR="00AB4821" w:rsidRPr="00AB4821" w:rsidRDefault="00AB4821" w:rsidP="00AB4821">
      <w:pPr>
        <w:numPr>
          <w:ilvl w:val="0"/>
          <w:numId w:val="26"/>
        </w:numPr>
        <w:tabs>
          <w:tab w:val="left" w:pos="396"/>
        </w:tabs>
        <w:suppressAutoHyphens/>
        <w:overflowPunct w:val="0"/>
        <w:spacing w:after="0" w:line="240" w:lineRule="auto"/>
        <w:ind w:left="284" w:hanging="284"/>
        <w:jc w:val="both"/>
        <w:rPr>
          <w:rFonts w:cstheme="minorHAnsi"/>
        </w:rPr>
      </w:pPr>
      <w:r w:rsidRPr="00AB4821">
        <w:rPr>
          <w:rFonts w:cstheme="minorHAnsi"/>
        </w:rPr>
        <w:t>autoryzację użytkowników (login, hasło) oraz nadawanie im różnych uprawnień. Powyższe pomiary, wykrycia nieprawidłowości i informacje o stanie urządzeń są przekazywane za pomocą następujących elementów:</w:t>
      </w:r>
    </w:p>
    <w:p w:rsidR="00AB4821" w:rsidRPr="00AB4821" w:rsidRDefault="00AB4821" w:rsidP="00AB4821">
      <w:pPr>
        <w:numPr>
          <w:ilvl w:val="0"/>
          <w:numId w:val="26"/>
        </w:numPr>
        <w:tabs>
          <w:tab w:val="left" w:pos="396"/>
        </w:tabs>
        <w:suppressAutoHyphens/>
        <w:overflowPunct w:val="0"/>
        <w:spacing w:after="0" w:line="240" w:lineRule="auto"/>
        <w:ind w:left="284" w:hanging="284"/>
        <w:jc w:val="both"/>
        <w:rPr>
          <w:rFonts w:cstheme="minorHAnsi"/>
        </w:rPr>
      </w:pPr>
      <w:r w:rsidRPr="00AB4821">
        <w:rPr>
          <w:rFonts w:cstheme="minorHAnsi"/>
        </w:rPr>
        <w:t>połączenie bezprzewodowe: sterownik zawiera modem GPRS pozwalający na stałe przesyłanie za jego pośrednictwem informacji dotyczących stanu szafki, awarii oraz wszelkich innych informacji dotyczących sieci oświetlenia,</w:t>
      </w:r>
    </w:p>
    <w:p w:rsidR="00AB4821" w:rsidRPr="00AB4821" w:rsidRDefault="00AB4821" w:rsidP="00AB4821">
      <w:pPr>
        <w:numPr>
          <w:ilvl w:val="0"/>
          <w:numId w:val="26"/>
        </w:numPr>
        <w:tabs>
          <w:tab w:val="left" w:pos="396"/>
        </w:tabs>
        <w:suppressAutoHyphens/>
        <w:overflowPunct w:val="0"/>
        <w:spacing w:after="0" w:line="240" w:lineRule="auto"/>
        <w:ind w:left="284" w:hanging="284"/>
        <w:jc w:val="both"/>
        <w:rPr>
          <w:rFonts w:cstheme="minorHAnsi"/>
        </w:rPr>
      </w:pPr>
      <w:r w:rsidRPr="00AB4821">
        <w:rPr>
          <w:rFonts w:cstheme="minorHAnsi"/>
        </w:rPr>
        <w:t>samowystarczalność urządzenia: rezerwa energii pozwala na przekaz sygnałów alarmowych w przypadku całkowitego odcięcia zasilania nawet przez kilka dni od usterki. W przypadku całkowitego rozładowania wewnętrznej baterii, wszystkie parametry zaprogramowania urządzenia zostają zapamiętane i żadna interwencja nie jest konieczna po ponownym włączeniu zasilania,</w:t>
      </w:r>
    </w:p>
    <w:p w:rsidR="00AB4821" w:rsidRPr="00AB4821" w:rsidRDefault="00AB4821" w:rsidP="00AB4821">
      <w:pPr>
        <w:numPr>
          <w:ilvl w:val="0"/>
          <w:numId w:val="26"/>
        </w:numPr>
        <w:tabs>
          <w:tab w:val="left" w:pos="396"/>
        </w:tabs>
        <w:suppressAutoHyphens/>
        <w:overflowPunct w:val="0"/>
        <w:spacing w:after="0" w:line="240" w:lineRule="auto"/>
        <w:ind w:left="284" w:hanging="284"/>
        <w:jc w:val="both"/>
        <w:rPr>
          <w:rFonts w:cstheme="minorHAnsi"/>
        </w:rPr>
      </w:pPr>
      <w:r w:rsidRPr="00AB4821">
        <w:rPr>
          <w:rFonts w:cstheme="minorHAnsi"/>
        </w:rPr>
        <w:t>komunikacja z personelem i systemem monitoringu odbywa się przez SMS za pośrednictwem sieci GSM na wybrany nr telefonu. Komunikacja z systemem monitoringu prowadzona jest przez dane GSM / GPRS.</w:t>
      </w:r>
    </w:p>
    <w:p w:rsidR="00AB4821" w:rsidRDefault="00AB4821" w:rsidP="00AB4821">
      <w:pPr>
        <w:numPr>
          <w:ilvl w:val="0"/>
          <w:numId w:val="26"/>
        </w:numPr>
        <w:tabs>
          <w:tab w:val="left" w:pos="396"/>
        </w:tabs>
        <w:suppressAutoHyphens/>
        <w:overflowPunct w:val="0"/>
        <w:spacing w:after="0" w:line="240" w:lineRule="auto"/>
        <w:ind w:left="284" w:hanging="284"/>
        <w:jc w:val="both"/>
        <w:rPr>
          <w:rFonts w:cstheme="minorHAnsi"/>
        </w:rPr>
      </w:pPr>
      <w:r w:rsidRPr="00AB4821">
        <w:rPr>
          <w:rFonts w:cstheme="minorHAnsi"/>
        </w:rPr>
        <w:t>gniazdo mini USB/USB z przodu pozwala na lokalne podłączenie notebooka do kontroli i parametrów ustawienia.</w:t>
      </w:r>
    </w:p>
    <w:p w:rsidR="00E03EE5" w:rsidRPr="00AB4821" w:rsidRDefault="00E03EE5" w:rsidP="00E03EE5">
      <w:pPr>
        <w:tabs>
          <w:tab w:val="left" w:pos="396"/>
        </w:tabs>
        <w:suppressAutoHyphens/>
        <w:overflowPunct w:val="0"/>
        <w:spacing w:after="0" w:line="240" w:lineRule="auto"/>
        <w:ind w:left="284"/>
        <w:jc w:val="both"/>
        <w:rPr>
          <w:rFonts w:cstheme="minorHAnsi"/>
        </w:rPr>
      </w:pPr>
    </w:p>
    <w:p w:rsidR="00AB4821" w:rsidRPr="00AB4821" w:rsidRDefault="00AB4821" w:rsidP="00AB4821">
      <w:pPr>
        <w:tabs>
          <w:tab w:val="left" w:pos="284"/>
          <w:tab w:val="left" w:pos="566"/>
        </w:tabs>
        <w:spacing w:after="0" w:line="240" w:lineRule="auto"/>
        <w:jc w:val="both"/>
        <w:rPr>
          <w:rFonts w:cstheme="minorHAnsi"/>
        </w:rPr>
      </w:pPr>
      <w:r w:rsidRPr="00AB4821">
        <w:rPr>
          <w:rFonts w:cstheme="minorHAnsi"/>
          <w:bCs/>
        </w:rPr>
        <w:lastRenderedPageBreak/>
        <w:t>Zastosowany sterownik winien być wyposażony we wszystkie parametry i aplikacje wymienione powyżej oraz być przystosowany do współpracy z nadrzędnym systemem monitoringu planowanym do użycia przez Zamawiającego.</w:t>
      </w:r>
    </w:p>
    <w:p w:rsidR="00AB4821" w:rsidRPr="00AB4821" w:rsidRDefault="00AB4821" w:rsidP="00AB4821">
      <w:pPr>
        <w:tabs>
          <w:tab w:val="left" w:pos="284"/>
          <w:tab w:val="left" w:pos="566"/>
        </w:tabs>
        <w:spacing w:after="0" w:line="240" w:lineRule="auto"/>
        <w:jc w:val="both"/>
        <w:rPr>
          <w:rFonts w:cstheme="minorHAnsi"/>
        </w:rPr>
      </w:pPr>
      <w:r w:rsidRPr="00AB4821">
        <w:rPr>
          <w:rFonts w:cstheme="minorHAnsi"/>
          <w:bCs/>
        </w:rPr>
        <w:t>W przypadku braku spełnienia chociażby jednego z ww. parametrów Wykonawca wymieni sterownik na nowy na własny koszt i we własnym zakresie.</w:t>
      </w:r>
    </w:p>
    <w:p w:rsidR="00AB4821" w:rsidRPr="00AB4821" w:rsidRDefault="00AB4821" w:rsidP="00AB4821">
      <w:pPr>
        <w:spacing w:line="240" w:lineRule="auto"/>
        <w:jc w:val="both"/>
        <w:rPr>
          <w:rFonts w:cstheme="minorHAnsi"/>
        </w:rPr>
      </w:pPr>
      <w:r w:rsidRPr="00AB4821">
        <w:rPr>
          <w:rFonts w:cstheme="minorHAnsi"/>
        </w:rPr>
        <w:t xml:space="preserve">Składowanie szafy oświetleniowej powinno odbywać się w zamkniętym, suchym pomieszczeniu, zabezpieczonym przed dostawaniem się kurzu i przed uszkodzeniami mechanicznymi. </w:t>
      </w:r>
    </w:p>
    <w:p w:rsidR="00AB4821" w:rsidRPr="00AB4821" w:rsidRDefault="00AB4821" w:rsidP="00AB4821">
      <w:pPr>
        <w:spacing w:after="0" w:line="240" w:lineRule="auto"/>
        <w:jc w:val="both"/>
        <w:rPr>
          <w:rFonts w:cstheme="minorHAnsi"/>
        </w:rPr>
      </w:pPr>
      <w:r w:rsidRPr="00AB4821">
        <w:rPr>
          <w:rFonts w:cstheme="minorHAnsi"/>
          <w:b/>
        </w:rPr>
        <w:t xml:space="preserve">Wkładki do zamykania szaf </w:t>
      </w:r>
      <w:r w:rsidRPr="00AB4821">
        <w:rPr>
          <w:rFonts w:cstheme="minorHAnsi"/>
        </w:rPr>
        <w:t xml:space="preserve">– Wkładki zgodnie z </w:t>
      </w:r>
      <w:r w:rsidRPr="00AB4821">
        <w:rPr>
          <w:rFonts w:cstheme="minorHAnsi"/>
          <w:lang w:eastAsia="pl-PL"/>
        </w:rPr>
        <w:t xml:space="preserve">systemem </w:t>
      </w:r>
      <w:r w:rsidRPr="00AB4821">
        <w:rPr>
          <w:rFonts w:cstheme="minorHAnsi"/>
          <w:i/>
          <w:lang w:eastAsia="pl-PL"/>
        </w:rPr>
        <w:t xml:space="preserve">Master </w:t>
      </w:r>
      <w:proofErr w:type="spellStart"/>
      <w:r w:rsidRPr="00AB4821">
        <w:rPr>
          <w:rFonts w:cstheme="minorHAnsi"/>
          <w:i/>
          <w:lang w:eastAsia="pl-PL"/>
        </w:rPr>
        <w:t>Key</w:t>
      </w:r>
      <w:proofErr w:type="spellEnd"/>
      <w:r w:rsidRPr="00AB4821">
        <w:rPr>
          <w:rFonts w:cstheme="minorHAnsi"/>
          <w:i/>
          <w:lang w:eastAsia="pl-PL"/>
        </w:rPr>
        <w:t xml:space="preserve"> typu B-4</w:t>
      </w:r>
      <w:r w:rsidRPr="00AB4821">
        <w:rPr>
          <w:rFonts w:cstheme="minorHAnsi"/>
          <w:lang w:eastAsia="pl-PL"/>
        </w:rPr>
        <w:t xml:space="preserve">  </w:t>
      </w:r>
    </w:p>
    <w:p w:rsidR="00AB4821" w:rsidRPr="00AB4821" w:rsidRDefault="00AB4821" w:rsidP="00AB4821">
      <w:pPr>
        <w:tabs>
          <w:tab w:val="left" w:pos="0"/>
        </w:tabs>
        <w:spacing w:after="0" w:line="240" w:lineRule="auto"/>
        <w:jc w:val="both"/>
        <w:rPr>
          <w:rFonts w:cstheme="minorHAnsi"/>
        </w:rPr>
      </w:pPr>
    </w:p>
    <w:p w:rsidR="00AB4821" w:rsidRPr="00AB4821" w:rsidRDefault="00AB4821" w:rsidP="00AB4821">
      <w:pPr>
        <w:tabs>
          <w:tab w:val="left" w:pos="0"/>
        </w:tabs>
        <w:spacing w:after="0" w:line="240" w:lineRule="auto"/>
        <w:jc w:val="both"/>
        <w:rPr>
          <w:rFonts w:cstheme="minorHAnsi"/>
        </w:rPr>
      </w:pPr>
      <w:r w:rsidRPr="00AB4821">
        <w:rPr>
          <w:rFonts w:cstheme="minorHAnsi"/>
          <w:b/>
          <w:lang w:eastAsia="pl-PL"/>
        </w:rPr>
        <w:t>Wytyczne do realizacji budowy oświetlenia</w:t>
      </w:r>
    </w:p>
    <w:p w:rsidR="00AB4821" w:rsidRPr="00AB4821" w:rsidRDefault="00AB4821" w:rsidP="00AB4821">
      <w:pPr>
        <w:tabs>
          <w:tab w:val="left" w:pos="0"/>
        </w:tabs>
        <w:spacing w:after="0" w:line="240" w:lineRule="auto"/>
        <w:jc w:val="both"/>
        <w:rPr>
          <w:rFonts w:cstheme="minorHAnsi"/>
        </w:rPr>
      </w:pPr>
      <w:r w:rsidRPr="00AB4821">
        <w:rPr>
          <w:rFonts w:cstheme="minorHAnsi"/>
        </w:rPr>
        <w:t xml:space="preserve">Materiały na budowę należy dostarczać łącznie ze świadectwami jakości, kartami gwarancyjnymi </w:t>
      </w:r>
      <w:r w:rsidR="00E03EE5">
        <w:rPr>
          <w:rFonts w:cstheme="minorHAnsi"/>
        </w:rPr>
        <w:br/>
      </w:r>
      <w:r w:rsidRPr="00AB4821">
        <w:rPr>
          <w:rFonts w:cstheme="minorHAnsi"/>
        </w:rPr>
        <w:t xml:space="preserve">i protokołami odbioru technicznego. Dostarczone na miejsce budowy materiały należy sprawdzić pod względem kompletności i zgodności z danymi Producenta. W razie stwierdzenia wad lub wystąpienia wątpliwości, co do jakości materiałów, należy przed ich wbudowaniem poddać badaniom określonymi przez Kierownika Robót. Materiały zastosowane przy pracach </w:t>
      </w:r>
      <w:proofErr w:type="spellStart"/>
      <w:r w:rsidRPr="00AB4821">
        <w:rPr>
          <w:rFonts w:cstheme="minorHAnsi"/>
        </w:rPr>
        <w:t>instalacyjno</w:t>
      </w:r>
      <w:proofErr w:type="spellEnd"/>
      <w:r w:rsidRPr="00AB4821">
        <w:rPr>
          <w:rFonts w:cstheme="minorHAnsi"/>
        </w:rPr>
        <w:t xml:space="preserve"> - montażowych muszą odpowiadać wszelkim wymogom znakowania i certyfikacji.</w:t>
      </w:r>
    </w:p>
    <w:p w:rsidR="00AB4821" w:rsidRPr="00AB4821" w:rsidRDefault="00AB4821" w:rsidP="00AB4821">
      <w:pPr>
        <w:autoSpaceDE w:val="0"/>
        <w:autoSpaceDN w:val="0"/>
        <w:adjustRightInd w:val="0"/>
        <w:spacing w:after="0" w:line="240" w:lineRule="auto"/>
        <w:rPr>
          <w:rFonts w:cstheme="minorHAnsi"/>
        </w:rPr>
      </w:pPr>
    </w:p>
    <w:p w:rsidR="00AB4821" w:rsidRPr="00AB4821" w:rsidRDefault="00AB4821" w:rsidP="00AB4821">
      <w:pPr>
        <w:spacing w:after="0" w:line="240" w:lineRule="auto"/>
        <w:jc w:val="both"/>
        <w:rPr>
          <w:rFonts w:cstheme="minorHAnsi"/>
          <w:b/>
          <w:lang w:eastAsia="pl-PL"/>
        </w:rPr>
      </w:pPr>
      <w:r w:rsidRPr="00AB4821">
        <w:rPr>
          <w:rFonts w:cstheme="minorHAnsi"/>
          <w:b/>
          <w:lang w:eastAsia="pl-PL"/>
        </w:rPr>
        <w:t>Wytyczne dodatkowe dotyczące oświetlenia</w:t>
      </w:r>
    </w:p>
    <w:p w:rsidR="00AB4821" w:rsidRPr="00AB4821" w:rsidRDefault="00E03EE5" w:rsidP="00AB4821">
      <w:pPr>
        <w:tabs>
          <w:tab w:val="left" w:pos="2007"/>
        </w:tabs>
        <w:suppressAutoHyphens/>
        <w:spacing w:after="0" w:line="240" w:lineRule="auto"/>
        <w:jc w:val="both"/>
        <w:rPr>
          <w:rFonts w:cstheme="minorHAnsi"/>
        </w:rPr>
      </w:pPr>
      <w:r>
        <w:rPr>
          <w:rFonts w:cstheme="minorHAnsi"/>
        </w:rPr>
        <w:t>P</w:t>
      </w:r>
      <w:r w:rsidR="00AB4821" w:rsidRPr="00AB4821">
        <w:rPr>
          <w:rFonts w:cstheme="minorHAnsi"/>
        </w:rPr>
        <w:t xml:space="preserve">rojekt ma uwzględniać przeniesienie lamp ze słupów PGE na nowe słupy zamontowane przez Gminę Juchnowiec Kościelny. </w:t>
      </w:r>
      <w:r w:rsidR="00AB4821" w:rsidRPr="00AB4821">
        <w:rPr>
          <w:rFonts w:cstheme="minorHAnsi"/>
          <w:lang w:eastAsia="pl-PL"/>
        </w:rPr>
        <w:t>Koncepcję projektu oświetlenia uzgodnić z Urzędem Gminy Juchnowiec Kościelny (tel. (85) 68-69-206 lub 697-011-627</w:t>
      </w:r>
      <w:r>
        <w:rPr>
          <w:rFonts w:cstheme="minorHAnsi"/>
          <w:lang w:eastAsia="pl-PL"/>
        </w:rPr>
        <w:t>. P</w:t>
      </w:r>
      <w:r w:rsidR="00AB4821" w:rsidRPr="00AB4821">
        <w:rPr>
          <w:rFonts w:cstheme="minorHAnsi"/>
          <w:lang w:eastAsia="pl-PL"/>
        </w:rPr>
        <w:t xml:space="preserve">rojekt budowlany oświetlenia uzgodnić z </w:t>
      </w:r>
      <w:r>
        <w:rPr>
          <w:rFonts w:cstheme="minorHAnsi"/>
          <w:lang w:eastAsia="pl-PL"/>
        </w:rPr>
        <w:t>PGE.</w:t>
      </w:r>
    </w:p>
    <w:p w:rsidR="008C4048" w:rsidRPr="00AB4821" w:rsidRDefault="008C4048" w:rsidP="00B32927">
      <w:pPr>
        <w:jc w:val="both"/>
        <w:rPr>
          <w:rFonts w:cstheme="minorHAnsi"/>
        </w:rPr>
      </w:pPr>
    </w:p>
    <w:sectPr w:rsidR="008C4048" w:rsidRPr="00AB4821" w:rsidSect="007B4821">
      <w:pgSz w:w="11906" w:h="16838"/>
      <w:pgMar w:top="851" w:right="1304" w:bottom="113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C4BF3"/>
    <w:multiLevelType w:val="multilevel"/>
    <w:tmpl w:val="21F040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E74BF8"/>
    <w:multiLevelType w:val="multilevel"/>
    <w:tmpl w:val="66ECED68"/>
    <w:lvl w:ilvl="0">
      <w:start w:val="1"/>
      <w:numFmt w:val="bullet"/>
      <w:lvlText w:val=""/>
      <w:lvlJc w:val="left"/>
      <w:pPr>
        <w:tabs>
          <w:tab w:val="num" w:pos="720"/>
        </w:tabs>
        <w:ind w:left="720" w:hanging="360"/>
      </w:pPr>
      <w:rPr>
        <w:rFonts w:ascii="Symbol" w:hAnsi="Symbol" w:cs="Symbol" w:hint="default"/>
        <w:b w:val="0"/>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b w:val="0"/>
        <w:sz w:val="24"/>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b w:val="0"/>
        <w:sz w:val="24"/>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091173D1"/>
    <w:multiLevelType w:val="hybridMultilevel"/>
    <w:tmpl w:val="C694CE8C"/>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 w15:restartNumberingAfterBreak="0">
    <w:nsid w:val="10136CB6"/>
    <w:multiLevelType w:val="hybridMultilevel"/>
    <w:tmpl w:val="9F4A4448"/>
    <w:lvl w:ilvl="0" w:tplc="6346F370">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EB145A"/>
    <w:multiLevelType w:val="hybridMultilevel"/>
    <w:tmpl w:val="C8AE449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7F429A4"/>
    <w:multiLevelType w:val="hybridMultilevel"/>
    <w:tmpl w:val="3A589CFE"/>
    <w:lvl w:ilvl="0" w:tplc="04150013">
      <w:start w:val="1"/>
      <w:numFmt w:val="upperRoman"/>
      <w:lvlText w:val="%1."/>
      <w:lvlJc w:val="righ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B03ECA"/>
    <w:multiLevelType w:val="multilevel"/>
    <w:tmpl w:val="1394877E"/>
    <w:lvl w:ilvl="0">
      <w:start w:val="1"/>
      <w:numFmt w:val="bullet"/>
      <w:lvlText w:val=""/>
      <w:lvlJc w:val="left"/>
      <w:pPr>
        <w:tabs>
          <w:tab w:val="num" w:pos="720"/>
        </w:tabs>
        <w:ind w:left="720" w:hanging="360"/>
      </w:pPr>
      <w:rPr>
        <w:rFonts w:ascii="Symbol" w:hAnsi="Symbol" w:cs="Symbol" w:hint="default"/>
        <w:b w:val="0"/>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b w:val="0"/>
        <w:sz w:val="24"/>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b w:val="0"/>
        <w:sz w:val="24"/>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1A6841F5"/>
    <w:multiLevelType w:val="multilevel"/>
    <w:tmpl w:val="3E9A19CE"/>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1BC6381D"/>
    <w:multiLevelType w:val="multilevel"/>
    <w:tmpl w:val="B6D0C1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D707BA0"/>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1FCC17E6"/>
    <w:multiLevelType w:val="hybridMultilevel"/>
    <w:tmpl w:val="03145912"/>
    <w:lvl w:ilvl="0" w:tplc="6346F370">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751186"/>
    <w:multiLevelType w:val="hybridMultilevel"/>
    <w:tmpl w:val="D744FD84"/>
    <w:lvl w:ilvl="0" w:tplc="F23EB4F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D7B0DD5"/>
    <w:multiLevelType w:val="hybridMultilevel"/>
    <w:tmpl w:val="C694CE8C"/>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 w15:restartNumberingAfterBreak="0">
    <w:nsid w:val="2E25079B"/>
    <w:multiLevelType w:val="multilevel"/>
    <w:tmpl w:val="0880815C"/>
    <w:lvl w:ilvl="0">
      <w:start w:val="1"/>
      <w:numFmt w:val="bullet"/>
      <w:lvlText w:val=""/>
      <w:lvlJc w:val="left"/>
      <w:pPr>
        <w:tabs>
          <w:tab w:val="num" w:pos="720"/>
        </w:tabs>
        <w:ind w:left="720" w:hanging="360"/>
      </w:pPr>
      <w:rPr>
        <w:rFonts w:ascii="Symbol" w:hAnsi="Symbol" w:cs="Symbol" w:hint="default"/>
        <w:b w:val="0"/>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b w:val="0"/>
        <w:sz w:val="24"/>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b w:val="0"/>
        <w:sz w:val="24"/>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33976D32"/>
    <w:multiLevelType w:val="multilevel"/>
    <w:tmpl w:val="E776461A"/>
    <w:lvl w:ilvl="0">
      <w:start w:val="1"/>
      <w:numFmt w:val="bullet"/>
      <w:lvlText w:val=""/>
      <w:lvlJc w:val="left"/>
      <w:pPr>
        <w:tabs>
          <w:tab w:val="num" w:pos="4755"/>
        </w:tabs>
        <w:ind w:left="4755" w:hanging="360"/>
      </w:pPr>
      <w:rPr>
        <w:rFonts w:ascii="Symbol" w:hAnsi="Symbol" w:cs="Symbol" w:hint="default"/>
        <w:b w:val="0"/>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b w:val="0"/>
        <w:sz w:val="24"/>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b w:val="0"/>
        <w:sz w:val="24"/>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3401479E"/>
    <w:multiLevelType w:val="multilevel"/>
    <w:tmpl w:val="76B45A68"/>
    <w:lvl w:ilvl="0">
      <w:start w:val="1"/>
      <w:numFmt w:val="bullet"/>
      <w:lvlText w:val=""/>
      <w:lvlJc w:val="left"/>
      <w:pPr>
        <w:tabs>
          <w:tab w:val="num" w:pos="2064"/>
        </w:tabs>
        <w:ind w:left="2064" w:hanging="360"/>
      </w:pPr>
      <w:rPr>
        <w:rFonts w:ascii="Symbol" w:hAnsi="Symbol" w:cs="Symbol" w:hint="default"/>
        <w:b w:val="0"/>
        <w:sz w:val="24"/>
      </w:rPr>
    </w:lvl>
    <w:lvl w:ilvl="1">
      <w:start w:val="1"/>
      <w:numFmt w:val="bullet"/>
      <w:lvlText w:val="◦"/>
      <w:lvlJc w:val="left"/>
      <w:pPr>
        <w:tabs>
          <w:tab w:val="num" w:pos="2424"/>
        </w:tabs>
        <w:ind w:left="2424" w:hanging="360"/>
      </w:pPr>
      <w:rPr>
        <w:rFonts w:ascii="OpenSymbol" w:hAnsi="OpenSymbol" w:cs="OpenSymbol" w:hint="default"/>
      </w:rPr>
    </w:lvl>
    <w:lvl w:ilvl="2">
      <w:start w:val="1"/>
      <w:numFmt w:val="bullet"/>
      <w:lvlText w:val="▪"/>
      <w:lvlJc w:val="left"/>
      <w:pPr>
        <w:tabs>
          <w:tab w:val="num" w:pos="2784"/>
        </w:tabs>
        <w:ind w:left="2784" w:hanging="360"/>
      </w:pPr>
      <w:rPr>
        <w:rFonts w:ascii="OpenSymbol" w:hAnsi="OpenSymbol" w:cs="OpenSymbol" w:hint="default"/>
      </w:rPr>
    </w:lvl>
    <w:lvl w:ilvl="3">
      <w:start w:val="1"/>
      <w:numFmt w:val="bullet"/>
      <w:lvlText w:val=""/>
      <w:lvlJc w:val="left"/>
      <w:pPr>
        <w:tabs>
          <w:tab w:val="num" w:pos="3144"/>
        </w:tabs>
        <w:ind w:left="3144" w:hanging="360"/>
      </w:pPr>
      <w:rPr>
        <w:rFonts w:ascii="Symbol" w:hAnsi="Symbol" w:cs="Symbol" w:hint="default"/>
        <w:b w:val="0"/>
        <w:sz w:val="24"/>
      </w:rPr>
    </w:lvl>
    <w:lvl w:ilvl="4">
      <w:start w:val="1"/>
      <w:numFmt w:val="bullet"/>
      <w:lvlText w:val="◦"/>
      <w:lvlJc w:val="left"/>
      <w:pPr>
        <w:tabs>
          <w:tab w:val="num" w:pos="3504"/>
        </w:tabs>
        <w:ind w:left="3504" w:hanging="360"/>
      </w:pPr>
      <w:rPr>
        <w:rFonts w:ascii="OpenSymbol" w:hAnsi="OpenSymbol" w:cs="OpenSymbol" w:hint="default"/>
      </w:rPr>
    </w:lvl>
    <w:lvl w:ilvl="5">
      <w:start w:val="1"/>
      <w:numFmt w:val="bullet"/>
      <w:lvlText w:val="▪"/>
      <w:lvlJc w:val="left"/>
      <w:pPr>
        <w:tabs>
          <w:tab w:val="num" w:pos="3864"/>
        </w:tabs>
        <w:ind w:left="3864" w:hanging="360"/>
      </w:pPr>
      <w:rPr>
        <w:rFonts w:ascii="OpenSymbol" w:hAnsi="OpenSymbol" w:cs="OpenSymbol" w:hint="default"/>
      </w:rPr>
    </w:lvl>
    <w:lvl w:ilvl="6">
      <w:start w:val="1"/>
      <w:numFmt w:val="bullet"/>
      <w:lvlText w:val=""/>
      <w:lvlJc w:val="left"/>
      <w:pPr>
        <w:tabs>
          <w:tab w:val="num" w:pos="4224"/>
        </w:tabs>
        <w:ind w:left="4224" w:hanging="360"/>
      </w:pPr>
      <w:rPr>
        <w:rFonts w:ascii="Symbol" w:hAnsi="Symbol" w:cs="Symbol" w:hint="default"/>
        <w:b w:val="0"/>
        <w:sz w:val="24"/>
      </w:rPr>
    </w:lvl>
    <w:lvl w:ilvl="7">
      <w:start w:val="1"/>
      <w:numFmt w:val="bullet"/>
      <w:lvlText w:val="◦"/>
      <w:lvlJc w:val="left"/>
      <w:pPr>
        <w:tabs>
          <w:tab w:val="num" w:pos="4584"/>
        </w:tabs>
        <w:ind w:left="4584" w:hanging="360"/>
      </w:pPr>
      <w:rPr>
        <w:rFonts w:ascii="OpenSymbol" w:hAnsi="OpenSymbol" w:cs="OpenSymbol" w:hint="default"/>
      </w:rPr>
    </w:lvl>
    <w:lvl w:ilvl="8">
      <w:start w:val="1"/>
      <w:numFmt w:val="bullet"/>
      <w:lvlText w:val="▪"/>
      <w:lvlJc w:val="left"/>
      <w:pPr>
        <w:tabs>
          <w:tab w:val="num" w:pos="4944"/>
        </w:tabs>
        <w:ind w:left="4944" w:hanging="360"/>
      </w:pPr>
      <w:rPr>
        <w:rFonts w:ascii="OpenSymbol" w:hAnsi="OpenSymbol" w:cs="OpenSymbol" w:hint="default"/>
      </w:rPr>
    </w:lvl>
  </w:abstractNum>
  <w:abstractNum w:abstractNumId="16" w15:restartNumberingAfterBreak="0">
    <w:nsid w:val="351771B4"/>
    <w:multiLevelType w:val="hybridMultilevel"/>
    <w:tmpl w:val="A94696A2"/>
    <w:lvl w:ilvl="0" w:tplc="81C4D0CA">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EF16FE4"/>
    <w:multiLevelType w:val="hybridMultilevel"/>
    <w:tmpl w:val="8468E7C0"/>
    <w:lvl w:ilvl="0" w:tplc="6346F370">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3316BB8"/>
    <w:multiLevelType w:val="hybridMultilevel"/>
    <w:tmpl w:val="97B6AF7E"/>
    <w:lvl w:ilvl="0" w:tplc="71DEC560">
      <w:start w:val="4"/>
      <w:numFmt w:val="upperRoman"/>
      <w:lvlText w:val="%1."/>
      <w:lvlJc w:val="righ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A2B2795"/>
    <w:multiLevelType w:val="hybridMultilevel"/>
    <w:tmpl w:val="97401350"/>
    <w:lvl w:ilvl="0" w:tplc="64CA0F5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0AA5770"/>
    <w:multiLevelType w:val="hybridMultilevel"/>
    <w:tmpl w:val="48E005D6"/>
    <w:lvl w:ilvl="0" w:tplc="6346F370">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30831E8"/>
    <w:multiLevelType w:val="hybridMultilevel"/>
    <w:tmpl w:val="86FE5D24"/>
    <w:lvl w:ilvl="0" w:tplc="6346F370">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5E4637D"/>
    <w:multiLevelType w:val="hybridMultilevel"/>
    <w:tmpl w:val="DF5A2B2E"/>
    <w:lvl w:ilvl="0" w:tplc="6346F370">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F24427B"/>
    <w:multiLevelType w:val="multilevel"/>
    <w:tmpl w:val="44644098"/>
    <w:lvl w:ilvl="0">
      <w:start w:val="1"/>
      <w:numFmt w:val="bullet"/>
      <w:lvlText w:val=""/>
      <w:lvlJc w:val="left"/>
      <w:pPr>
        <w:tabs>
          <w:tab w:val="num" w:pos="812"/>
        </w:tabs>
        <w:ind w:left="812" w:hanging="360"/>
      </w:pPr>
      <w:rPr>
        <w:rFonts w:ascii="Symbol" w:hAnsi="Symbol" w:cs="Symbol" w:hint="default"/>
        <w:b w:val="0"/>
        <w:sz w:val="24"/>
      </w:rPr>
    </w:lvl>
    <w:lvl w:ilvl="1">
      <w:start w:val="1"/>
      <w:numFmt w:val="bullet"/>
      <w:lvlText w:val="◦"/>
      <w:lvlJc w:val="left"/>
      <w:pPr>
        <w:tabs>
          <w:tab w:val="num" w:pos="1172"/>
        </w:tabs>
        <w:ind w:left="1172" w:hanging="360"/>
      </w:pPr>
      <w:rPr>
        <w:rFonts w:ascii="OpenSymbol" w:hAnsi="OpenSymbol" w:cs="OpenSymbol" w:hint="default"/>
      </w:rPr>
    </w:lvl>
    <w:lvl w:ilvl="2">
      <w:start w:val="1"/>
      <w:numFmt w:val="bullet"/>
      <w:lvlText w:val="▪"/>
      <w:lvlJc w:val="left"/>
      <w:pPr>
        <w:tabs>
          <w:tab w:val="num" w:pos="1532"/>
        </w:tabs>
        <w:ind w:left="1532" w:hanging="360"/>
      </w:pPr>
      <w:rPr>
        <w:rFonts w:ascii="OpenSymbol" w:hAnsi="OpenSymbol" w:cs="OpenSymbol" w:hint="default"/>
      </w:rPr>
    </w:lvl>
    <w:lvl w:ilvl="3">
      <w:start w:val="1"/>
      <w:numFmt w:val="bullet"/>
      <w:lvlText w:val=""/>
      <w:lvlJc w:val="left"/>
      <w:pPr>
        <w:tabs>
          <w:tab w:val="num" w:pos="1892"/>
        </w:tabs>
        <w:ind w:left="1892" w:hanging="360"/>
      </w:pPr>
      <w:rPr>
        <w:rFonts w:ascii="Symbol" w:hAnsi="Symbol" w:cs="Symbol" w:hint="default"/>
        <w:b w:val="0"/>
        <w:sz w:val="24"/>
      </w:rPr>
    </w:lvl>
    <w:lvl w:ilvl="4">
      <w:start w:val="1"/>
      <w:numFmt w:val="bullet"/>
      <w:lvlText w:val="◦"/>
      <w:lvlJc w:val="left"/>
      <w:pPr>
        <w:tabs>
          <w:tab w:val="num" w:pos="2252"/>
        </w:tabs>
        <w:ind w:left="2252" w:hanging="360"/>
      </w:pPr>
      <w:rPr>
        <w:rFonts w:ascii="OpenSymbol" w:hAnsi="OpenSymbol" w:cs="OpenSymbol" w:hint="default"/>
      </w:rPr>
    </w:lvl>
    <w:lvl w:ilvl="5">
      <w:start w:val="1"/>
      <w:numFmt w:val="bullet"/>
      <w:lvlText w:val="▪"/>
      <w:lvlJc w:val="left"/>
      <w:pPr>
        <w:tabs>
          <w:tab w:val="num" w:pos="2612"/>
        </w:tabs>
        <w:ind w:left="2612" w:hanging="360"/>
      </w:pPr>
      <w:rPr>
        <w:rFonts w:ascii="OpenSymbol" w:hAnsi="OpenSymbol" w:cs="OpenSymbol" w:hint="default"/>
      </w:rPr>
    </w:lvl>
    <w:lvl w:ilvl="6">
      <w:start w:val="1"/>
      <w:numFmt w:val="bullet"/>
      <w:lvlText w:val=""/>
      <w:lvlJc w:val="left"/>
      <w:pPr>
        <w:tabs>
          <w:tab w:val="num" w:pos="2972"/>
        </w:tabs>
        <w:ind w:left="2972" w:hanging="360"/>
      </w:pPr>
      <w:rPr>
        <w:rFonts w:ascii="Symbol" w:hAnsi="Symbol" w:cs="Symbol" w:hint="default"/>
        <w:b w:val="0"/>
        <w:sz w:val="24"/>
      </w:rPr>
    </w:lvl>
    <w:lvl w:ilvl="7">
      <w:start w:val="1"/>
      <w:numFmt w:val="bullet"/>
      <w:lvlText w:val="◦"/>
      <w:lvlJc w:val="left"/>
      <w:pPr>
        <w:tabs>
          <w:tab w:val="num" w:pos="3332"/>
        </w:tabs>
        <w:ind w:left="3332" w:hanging="360"/>
      </w:pPr>
      <w:rPr>
        <w:rFonts w:ascii="OpenSymbol" w:hAnsi="OpenSymbol" w:cs="OpenSymbol" w:hint="default"/>
      </w:rPr>
    </w:lvl>
    <w:lvl w:ilvl="8">
      <w:start w:val="1"/>
      <w:numFmt w:val="bullet"/>
      <w:lvlText w:val="▪"/>
      <w:lvlJc w:val="left"/>
      <w:pPr>
        <w:tabs>
          <w:tab w:val="num" w:pos="3692"/>
        </w:tabs>
        <w:ind w:left="3692" w:hanging="360"/>
      </w:pPr>
      <w:rPr>
        <w:rFonts w:ascii="OpenSymbol" w:hAnsi="OpenSymbol" w:cs="OpenSymbol" w:hint="default"/>
      </w:rPr>
    </w:lvl>
  </w:abstractNum>
  <w:abstractNum w:abstractNumId="24" w15:restartNumberingAfterBreak="0">
    <w:nsid w:val="6B3929F3"/>
    <w:multiLevelType w:val="hybridMultilevel"/>
    <w:tmpl w:val="3650F4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B752E88"/>
    <w:multiLevelType w:val="hybridMultilevel"/>
    <w:tmpl w:val="BE3CB4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C02258A"/>
    <w:multiLevelType w:val="hybridMultilevel"/>
    <w:tmpl w:val="2D2C48C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7C313ABB"/>
    <w:multiLevelType w:val="hybridMultilevel"/>
    <w:tmpl w:val="57BE797E"/>
    <w:lvl w:ilvl="0" w:tplc="0415000F">
      <w:start w:val="1"/>
      <w:numFmt w:val="decimal"/>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7E347181"/>
    <w:multiLevelType w:val="hybridMultilevel"/>
    <w:tmpl w:val="72BE787E"/>
    <w:lvl w:ilvl="0" w:tplc="81C4D0CA">
      <w:start w:val="2"/>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27"/>
  </w:num>
  <w:num w:numId="5">
    <w:abstractNumId w:val="4"/>
  </w:num>
  <w:num w:numId="6">
    <w:abstractNumId w:val="26"/>
  </w:num>
  <w:num w:numId="7">
    <w:abstractNumId w:val="8"/>
  </w:num>
  <w:num w:numId="8">
    <w:abstractNumId w:val="19"/>
  </w:num>
  <w:num w:numId="9">
    <w:abstractNumId w:val="2"/>
  </w:num>
  <w:num w:numId="10">
    <w:abstractNumId w:val="12"/>
  </w:num>
  <w:num w:numId="11">
    <w:abstractNumId w:val="5"/>
  </w:num>
  <w:num w:numId="12">
    <w:abstractNumId w:val="11"/>
  </w:num>
  <w:num w:numId="13">
    <w:abstractNumId w:val="18"/>
  </w:num>
  <w:num w:numId="14">
    <w:abstractNumId w:val="24"/>
  </w:num>
  <w:num w:numId="15">
    <w:abstractNumId w:val="16"/>
  </w:num>
  <w:num w:numId="16">
    <w:abstractNumId w:val="28"/>
  </w:num>
  <w:num w:numId="17">
    <w:abstractNumId w:val="22"/>
  </w:num>
  <w:num w:numId="18">
    <w:abstractNumId w:val="20"/>
  </w:num>
  <w:num w:numId="19">
    <w:abstractNumId w:val="3"/>
  </w:num>
  <w:num w:numId="20">
    <w:abstractNumId w:val="21"/>
  </w:num>
  <w:num w:numId="21">
    <w:abstractNumId w:val="10"/>
  </w:num>
  <w:num w:numId="22">
    <w:abstractNumId w:val="17"/>
  </w:num>
  <w:num w:numId="23">
    <w:abstractNumId w:val="15"/>
  </w:num>
  <w:num w:numId="24">
    <w:abstractNumId w:val="1"/>
  </w:num>
  <w:num w:numId="25">
    <w:abstractNumId w:val="13"/>
  </w:num>
  <w:num w:numId="26">
    <w:abstractNumId w:val="6"/>
  </w:num>
  <w:num w:numId="27">
    <w:abstractNumId w:val="14"/>
  </w:num>
  <w:num w:numId="28">
    <w:abstractNumId w:val="23"/>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113"/>
    <w:rsid w:val="00014AA7"/>
    <w:rsid w:val="000730D0"/>
    <w:rsid w:val="000A04E7"/>
    <w:rsid w:val="000B527C"/>
    <w:rsid w:val="001765B3"/>
    <w:rsid w:val="00180903"/>
    <w:rsid w:val="00196BFE"/>
    <w:rsid w:val="001A1537"/>
    <w:rsid w:val="001D3EF3"/>
    <w:rsid w:val="001E21F2"/>
    <w:rsid w:val="0020063C"/>
    <w:rsid w:val="00210CCF"/>
    <w:rsid w:val="00260F7E"/>
    <w:rsid w:val="00262291"/>
    <w:rsid w:val="002A3AC5"/>
    <w:rsid w:val="00315082"/>
    <w:rsid w:val="003214FB"/>
    <w:rsid w:val="00321688"/>
    <w:rsid w:val="003226C7"/>
    <w:rsid w:val="00325A3F"/>
    <w:rsid w:val="00364725"/>
    <w:rsid w:val="003B179E"/>
    <w:rsid w:val="003D0A67"/>
    <w:rsid w:val="003D3374"/>
    <w:rsid w:val="003E10DF"/>
    <w:rsid w:val="00412128"/>
    <w:rsid w:val="004440DB"/>
    <w:rsid w:val="00467A4E"/>
    <w:rsid w:val="00485C1E"/>
    <w:rsid w:val="004871D2"/>
    <w:rsid w:val="004B7D62"/>
    <w:rsid w:val="00527FE6"/>
    <w:rsid w:val="00545BCC"/>
    <w:rsid w:val="005475E9"/>
    <w:rsid w:val="00592EE2"/>
    <w:rsid w:val="00597368"/>
    <w:rsid w:val="005B1529"/>
    <w:rsid w:val="005B385B"/>
    <w:rsid w:val="005B6367"/>
    <w:rsid w:val="005C0BB6"/>
    <w:rsid w:val="005D7460"/>
    <w:rsid w:val="00604C06"/>
    <w:rsid w:val="006147F6"/>
    <w:rsid w:val="006547C3"/>
    <w:rsid w:val="0068309B"/>
    <w:rsid w:val="00685DC7"/>
    <w:rsid w:val="006F31CD"/>
    <w:rsid w:val="0070169F"/>
    <w:rsid w:val="00733692"/>
    <w:rsid w:val="00742393"/>
    <w:rsid w:val="00767F1F"/>
    <w:rsid w:val="007769E3"/>
    <w:rsid w:val="007A3A2A"/>
    <w:rsid w:val="007A464C"/>
    <w:rsid w:val="007B4821"/>
    <w:rsid w:val="007D4113"/>
    <w:rsid w:val="007E1816"/>
    <w:rsid w:val="007F6EF6"/>
    <w:rsid w:val="00837380"/>
    <w:rsid w:val="00852087"/>
    <w:rsid w:val="00865041"/>
    <w:rsid w:val="008810F5"/>
    <w:rsid w:val="008A4119"/>
    <w:rsid w:val="008C4048"/>
    <w:rsid w:val="008E6DF8"/>
    <w:rsid w:val="008E7A39"/>
    <w:rsid w:val="008F2358"/>
    <w:rsid w:val="0091373E"/>
    <w:rsid w:val="00941DC0"/>
    <w:rsid w:val="00945E44"/>
    <w:rsid w:val="009814BE"/>
    <w:rsid w:val="009C1C69"/>
    <w:rsid w:val="009E4897"/>
    <w:rsid w:val="00A00A00"/>
    <w:rsid w:val="00A126A4"/>
    <w:rsid w:val="00A141E2"/>
    <w:rsid w:val="00A354CD"/>
    <w:rsid w:val="00A4610E"/>
    <w:rsid w:val="00A723CD"/>
    <w:rsid w:val="00AB4821"/>
    <w:rsid w:val="00AF405B"/>
    <w:rsid w:val="00B0507C"/>
    <w:rsid w:val="00B32927"/>
    <w:rsid w:val="00B4720A"/>
    <w:rsid w:val="00BD44CB"/>
    <w:rsid w:val="00C13F12"/>
    <w:rsid w:val="00C600C2"/>
    <w:rsid w:val="00CA00D4"/>
    <w:rsid w:val="00CA3EEB"/>
    <w:rsid w:val="00CF35CF"/>
    <w:rsid w:val="00CF7BC0"/>
    <w:rsid w:val="00D27407"/>
    <w:rsid w:val="00D352E2"/>
    <w:rsid w:val="00D47CBA"/>
    <w:rsid w:val="00D518E0"/>
    <w:rsid w:val="00DA4359"/>
    <w:rsid w:val="00E01B5B"/>
    <w:rsid w:val="00E03EE5"/>
    <w:rsid w:val="00E07762"/>
    <w:rsid w:val="00E12743"/>
    <w:rsid w:val="00E44A5B"/>
    <w:rsid w:val="00E52999"/>
    <w:rsid w:val="00E67929"/>
    <w:rsid w:val="00E925A7"/>
    <w:rsid w:val="00EA0EF0"/>
    <w:rsid w:val="00ED6FB7"/>
    <w:rsid w:val="00F36476"/>
    <w:rsid w:val="00F455F4"/>
    <w:rsid w:val="00F93155"/>
    <w:rsid w:val="00F94A53"/>
    <w:rsid w:val="00FA0AFA"/>
    <w:rsid w:val="00FB3D1C"/>
    <w:rsid w:val="00FC3E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65EA9"/>
  <w15:chartTrackingRefBased/>
  <w15:docId w15:val="{F13D4A4F-33F8-4404-A05F-24C24FD82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B482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B4821"/>
    <w:pPr>
      <w:ind w:left="720"/>
      <w:contextualSpacing/>
    </w:pPr>
  </w:style>
  <w:style w:type="character" w:styleId="Hipercze">
    <w:name w:val="Hyperlink"/>
    <w:basedOn w:val="Domylnaczcionkaakapitu"/>
    <w:uiPriority w:val="99"/>
    <w:unhideWhenUsed/>
    <w:rsid w:val="007B4821"/>
    <w:rPr>
      <w:color w:val="0563C1" w:themeColor="hyperlink"/>
      <w:u w:val="single"/>
    </w:rPr>
  </w:style>
  <w:style w:type="paragraph" w:styleId="Tekstdymka">
    <w:name w:val="Balloon Text"/>
    <w:basedOn w:val="Normalny"/>
    <w:link w:val="TekstdymkaZnak"/>
    <w:uiPriority w:val="99"/>
    <w:semiHidden/>
    <w:unhideWhenUsed/>
    <w:rsid w:val="007F6E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6E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s.ipodlaskie.pl/doc/juchnowieckoscielny/uchwaly/U_2002_289_XXXII.pdf" TargetMode="External"/><Relationship Id="rId5" Type="http://schemas.openxmlformats.org/officeDocument/2006/relationships/hyperlink" Target="https://gis.ipodlaskie.pl/doc/juchnowieckoscielny/uchwaly/U_2003_30_IV.pdf"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5117</Words>
  <Characters>30703</Characters>
  <Application>Microsoft Office Word</Application>
  <DocSecurity>0</DocSecurity>
  <Lines>255</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Puchalski</dc:creator>
  <cp:keywords/>
  <dc:description/>
  <cp:lastModifiedBy>Grzegorz Zdanowicz</cp:lastModifiedBy>
  <cp:revision>4</cp:revision>
  <cp:lastPrinted>2026-07-28T09:53:00Z</cp:lastPrinted>
  <dcterms:created xsi:type="dcterms:W3CDTF">2026-04-27T11:23:00Z</dcterms:created>
  <dcterms:modified xsi:type="dcterms:W3CDTF">2026-07-28T09:53:00Z</dcterms:modified>
</cp:coreProperties>
</file>