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right"/>
      </w:pPr>
      <w:r>
        <w:rPr>
          <w:rFonts w:ascii="Arial" w:hAnsi="Arial"/>
          <w:b w:val="0"/>
          <w:sz w:val="21"/>
        </w:rPr>
        <w:t>Dąbrowa Biskupia, 13 sierpnia 2026 r.</w:t>
      </w:r>
    </w:p>
    <w:p>
      <w:pPr>
        <w:spacing w:after="160"/>
        <w:jc w:val="center"/>
      </w:pPr>
      <w:r>
        <w:rPr>
          <w:rFonts w:ascii="Arial" w:hAnsi="Arial"/>
          <w:b/>
          <w:sz w:val="21"/>
        </w:rPr>
        <w:t>GMINNY OŚRODEK KULTURY, SPORTU I REKREACJI</w:t>
        <w:br/>
        <w:t>W DĄBROWIE BISKUPIEJ</w:t>
      </w:r>
    </w:p>
    <w:p>
      <w:pPr>
        <w:spacing w:after="160"/>
        <w:jc w:val="center"/>
      </w:pPr>
      <w:r>
        <w:rPr>
          <w:rFonts w:ascii="Arial" w:hAnsi="Arial"/>
          <w:b/>
          <w:sz w:val="21"/>
        </w:rPr>
        <w:t>ZMIANA NR 3</w:t>
        <w:br/>
        <w:t>SPECYFIKACJI WARUNKÓW ZAMÓWIENIA</w:t>
      </w:r>
    </w:p>
    <w:p>
      <w:pPr>
        <w:spacing w:after="40"/>
        <w:jc w:val="center"/>
      </w:pPr>
      <w:r>
        <w:rPr>
          <w:rFonts w:ascii="Arial" w:hAnsi="Arial"/>
          <w:b w:val="0"/>
          <w:sz w:val="21"/>
        </w:rPr>
        <w:t>Postępowanie: „Modernizacja infrastruktury technicznej dla podniesienia jakości wydarzeń kulturalnych i edukacyjnych”</w:t>
      </w:r>
    </w:p>
    <w:p>
      <w:pPr>
        <w:spacing w:after="240"/>
        <w:jc w:val="center"/>
      </w:pPr>
      <w:r>
        <w:rPr>
          <w:rFonts w:ascii="Arial" w:hAnsi="Arial"/>
          <w:b w:val="0"/>
          <w:sz w:val="21"/>
        </w:rPr>
        <w:t>Nr postępowania: ZAM.1.2026</w:t>
      </w:r>
    </w:p>
    <w:p>
      <w:pPr>
        <w:spacing w:after="160"/>
      </w:pPr>
      <w:r>
        <w:rPr>
          <w:rFonts w:ascii="Arial" w:hAnsi="Arial"/>
          <w:b w:val="0"/>
          <w:sz w:val="21"/>
        </w:rPr>
        <w:t>Na podstawie art. 286 ust. 1, 3, 5–7 i 9 ustawy z dnia 11 września 2019 r. – Prawo zamówień publicznych (t.j. Dz. U. z 2026 r. poz. 793), w związku z wyjaśnieniami udzielonymi na podstawie art. 284 ust. 2 i 6 tej ustawy, Zamawiający dokonuje Zmiany nr 3 treści Specyfikacji Warunków Zamówienia.</w:t>
      </w:r>
    </w:p>
    <w:p>
      <w:pPr>
        <w:spacing w:after="100"/>
      </w:pPr>
      <w:r>
        <w:rPr>
          <w:rFonts w:ascii="Arial" w:hAnsi="Arial"/>
          <w:b/>
          <w:sz w:val="21"/>
        </w:rPr>
        <w:t>§ 1. Zakres zmiany</w:t>
      </w:r>
    </w:p>
    <w:p>
      <w:pPr>
        <w:spacing w:after="100"/>
      </w:pPr>
      <w:r>
        <w:rPr>
          <w:rFonts w:ascii="Arial" w:hAnsi="Arial"/>
          <w:b w:val="0"/>
          <w:sz w:val="21"/>
        </w:rPr>
        <w:t>Zmianie ulegają:</w:t>
      </w:r>
    </w:p>
    <w:p>
      <w:pPr>
        <w:spacing w:after="100"/>
      </w:pPr>
      <w:r>
        <w:rPr>
          <w:rFonts w:ascii="Arial" w:hAnsi="Arial"/>
          <w:b w:val="0"/>
          <w:sz w:val="21"/>
        </w:rPr>
        <w:t>1. Specyfikacja Warunków Zamówienia – w zakresie terminów składania i otwarcia ofert oraz terminu związania ofertą;</w:t>
      </w:r>
    </w:p>
    <w:p>
      <w:pPr>
        <w:spacing w:after="100"/>
      </w:pPr>
      <w:r>
        <w:rPr>
          <w:rFonts w:ascii="Arial" w:hAnsi="Arial"/>
          <w:b w:val="0"/>
          <w:sz w:val="21"/>
        </w:rPr>
        <w:t>2. Załącznik nr 5 do SWZ – Opis Przedmiotu Zamówienia, w zakresie wymagań dotyczących pozycji nr 1–4 systemu nagłośnieniowego;</w:t>
      </w:r>
    </w:p>
    <w:p>
      <w:pPr>
        <w:spacing w:after="100"/>
      </w:pPr>
      <w:r>
        <w:rPr>
          <w:rFonts w:ascii="Arial" w:hAnsi="Arial"/>
          <w:b w:val="0"/>
          <w:sz w:val="21"/>
        </w:rPr>
        <w:t>3. Załącznik nr 1A do SWZ – Formularz rzeczowo-cenowy, w zakresie odpowiadającym zmianom wymagań określonych w Załączniku nr 5.</w:t>
      </w:r>
    </w:p>
    <w:p>
      <w:pPr>
        <w:spacing w:after="100"/>
      </w:pPr>
      <w:r>
        <w:rPr>
          <w:rFonts w:ascii="Arial" w:hAnsi="Arial"/>
          <w:b/>
          <w:sz w:val="21"/>
        </w:rPr>
        <w:t>§ 2. Zmiana wymagań – system nagłośnieniowy</w:t>
      </w:r>
    </w:p>
    <w:p>
      <w:pPr>
        <w:spacing w:after="100"/>
      </w:pPr>
      <w:r>
        <w:rPr>
          <w:rFonts w:ascii="Arial" w:hAnsi="Arial"/>
          <w:b w:val="0"/>
          <w:sz w:val="21"/>
        </w:rPr>
        <w:t>W Załączniku nr 5 do SWZ zmianie ulegają wymagania dotyczące pozycji nr 1–4 systemu nagłośnieniowego. Wprowadza się następujące minimalne wymagania:</w:t>
      </w:r>
    </w:p>
    <w:p>
      <w:pPr>
        <w:spacing w:after="100"/>
      </w:pPr>
      <w:r>
        <w:rPr>
          <w:rFonts w:ascii="Arial" w:hAnsi="Arial"/>
          <w:b/>
          <w:sz w:val="21"/>
        </w:rPr>
        <w:t>1) Pozycja nr 1 – Kolumny pasywne typu top / pełnopasmowe</w:t>
      </w:r>
    </w:p>
    <w:p>
      <w:pPr>
        <w:spacing w:after="100"/>
      </w:pPr>
      <w:r>
        <w:rPr>
          <w:rFonts w:ascii="Arial" w:hAnsi="Arial"/>
          <w:b w:val="0"/>
          <w:sz w:val="21"/>
        </w:rPr>
        <w:t>– pasywna kolumna głównego systemu;</w:t>
      </w:r>
    </w:p>
    <w:p>
      <w:pPr>
        <w:spacing w:after="100"/>
      </w:pPr>
      <w:r>
        <w:rPr>
          <w:rFonts w:ascii="Arial" w:hAnsi="Arial"/>
          <w:b w:val="0"/>
          <w:sz w:val="21"/>
        </w:rPr>
        <w:t>– minimalny zakres pasma przenoszenia deklarowany przez producenta: 70 Hz–20 kHz;</w:t>
      </w:r>
    </w:p>
    <w:p>
      <w:pPr>
        <w:spacing w:after="100"/>
      </w:pPr>
      <w:r>
        <w:rPr>
          <w:rFonts w:ascii="Arial" w:hAnsi="Arial"/>
          <w:b w:val="0"/>
          <w:sz w:val="21"/>
        </w:rPr>
        <w:t>– zalecana przez producenta moc wzmacniacza nie mniejsza niż 700 W;</w:t>
      </w:r>
    </w:p>
    <w:p>
      <w:pPr>
        <w:spacing w:after="100"/>
      </w:pPr>
      <w:r>
        <w:rPr>
          <w:rFonts w:ascii="Arial" w:hAnsi="Arial"/>
          <w:b w:val="0"/>
          <w:sz w:val="21"/>
        </w:rPr>
        <w:t>– czułość kolumny deklarowana przez producenta nie mniejsza niż 95 dB SPL (1 W/1 m);</w:t>
      </w:r>
    </w:p>
    <w:p>
      <w:pPr>
        <w:spacing w:after="100"/>
      </w:pPr>
      <w:r>
        <w:rPr>
          <w:rFonts w:ascii="Arial" w:hAnsi="Arial"/>
          <w:b w:val="0"/>
          <w:sz w:val="21"/>
        </w:rPr>
        <w:t>– zdolność akustyczna odpowiednia do pracy jako element głównego systemu;</w:t>
      </w:r>
    </w:p>
    <w:p>
      <w:pPr>
        <w:spacing w:after="100"/>
      </w:pPr>
      <w:r>
        <w:rPr>
          <w:rFonts w:ascii="Arial" w:hAnsi="Arial"/>
          <w:b w:val="0"/>
          <w:sz w:val="21"/>
        </w:rPr>
        <w:t>– obudowa mobilna wykończona poliureą albo powłoką o równoważnej odporności;</w:t>
      </w:r>
    </w:p>
    <w:p>
      <w:pPr>
        <w:spacing w:after="100"/>
      </w:pPr>
      <w:r>
        <w:rPr>
          <w:rFonts w:ascii="Arial" w:hAnsi="Arial"/>
          <w:b w:val="0"/>
          <w:sz w:val="21"/>
        </w:rPr>
        <w:t>– fabryczne lub przygotowane przez Wykonawcę presety DSP i pełna zgodność z oferowanymi wzmacniaczami;</w:t>
      </w:r>
    </w:p>
    <w:p>
      <w:pPr>
        <w:spacing w:after="100"/>
      </w:pPr>
      <w:r>
        <w:rPr>
          <w:rFonts w:ascii="Arial" w:hAnsi="Arial"/>
          <w:b w:val="0"/>
          <w:sz w:val="21"/>
        </w:rPr>
        <w:t>– nie wymaga się konkretnej liczby ani układu przetworników.</w:t>
      </w:r>
    </w:p>
    <w:p>
      <w:pPr>
        <w:spacing w:after="100"/>
      </w:pPr>
      <w:r>
        <w:rPr>
          <w:rFonts w:ascii="Arial" w:hAnsi="Arial"/>
          <w:b/>
          <w:sz w:val="21"/>
        </w:rPr>
        <w:t>2) Pozycja nr 2 – Kolumny pasywne niskotonowe 18 cali</w:t>
      </w:r>
    </w:p>
    <w:p>
      <w:pPr>
        <w:spacing w:after="100"/>
      </w:pPr>
      <w:r>
        <w:rPr>
          <w:rFonts w:ascii="Arial" w:hAnsi="Arial"/>
          <w:b w:val="0"/>
          <w:sz w:val="21"/>
        </w:rPr>
        <w:t>– głośnik niskotonowy o średnicy minimum 18", a nie większej niż 21";</w:t>
      </w:r>
    </w:p>
    <w:p>
      <w:pPr>
        <w:spacing w:after="100"/>
      </w:pPr>
      <w:r>
        <w:rPr>
          <w:rFonts w:ascii="Arial" w:hAnsi="Arial"/>
          <w:b w:val="0"/>
          <w:sz w:val="21"/>
        </w:rPr>
        <w:t>– minimalny zakres pasma przenoszenia deklarowany przez producenta: 35 Hz–120 Hz;</w:t>
      </w:r>
    </w:p>
    <w:p>
      <w:pPr>
        <w:spacing w:after="100"/>
      </w:pPr>
      <w:r>
        <w:rPr>
          <w:rFonts w:ascii="Arial" w:hAnsi="Arial"/>
          <w:b w:val="0"/>
          <w:sz w:val="21"/>
        </w:rPr>
        <w:t>– zalecana przez producenta moc wzmacniacza nie mniejsza niż 1550 W lub moc głośnika nie mniejsza niż 1200 W AES;</w:t>
      </w:r>
    </w:p>
    <w:p>
      <w:pPr>
        <w:spacing w:after="100"/>
      </w:pPr>
      <w:r>
        <w:rPr>
          <w:rFonts w:ascii="Arial" w:hAnsi="Arial"/>
          <w:b w:val="0"/>
          <w:sz w:val="21"/>
        </w:rPr>
        <w:t>– maksymalny poziom ciśnienia akustycznego deklarowany przez producenta nie mniejszy niż 133 dB Peak @ 1 m;</w:t>
      </w:r>
    </w:p>
    <w:p>
      <w:pPr>
        <w:spacing w:after="100"/>
      </w:pPr>
      <w:r>
        <w:rPr>
          <w:rFonts w:ascii="Arial" w:hAnsi="Arial"/>
          <w:b w:val="0"/>
          <w:sz w:val="21"/>
        </w:rPr>
        <w:t>– masa nie większa niż 50 kg;</w:t>
      </w:r>
    </w:p>
    <w:p>
      <w:pPr>
        <w:spacing w:after="100"/>
      </w:pPr>
      <w:r>
        <w:rPr>
          <w:rFonts w:ascii="Arial" w:hAnsi="Arial"/>
          <w:b w:val="0"/>
          <w:sz w:val="21"/>
        </w:rPr>
        <w:t>– obudowa przeznaczona do zastosowań mobilnych, z odpornym wykończeniem.</w:t>
      </w:r>
    </w:p>
    <w:p>
      <w:pPr>
        <w:spacing w:after="100"/>
      </w:pPr>
      <w:r>
        <w:rPr>
          <w:rFonts w:ascii="Arial" w:hAnsi="Arial"/>
          <w:b/>
          <w:sz w:val="21"/>
        </w:rPr>
        <w:t>3) Pozycja nr 3 – Monitory sceniczne pasywne 12 cali</w:t>
      </w:r>
    </w:p>
    <w:p>
      <w:pPr>
        <w:spacing w:after="100"/>
      </w:pPr>
      <w:r>
        <w:rPr>
          <w:rFonts w:ascii="Arial" w:hAnsi="Arial"/>
          <w:b w:val="0"/>
          <w:sz w:val="21"/>
        </w:rPr>
        <w:t>– głośnik niskotonowy o średnicy minimum 12", a nie większej niż 15";</w:t>
      </w:r>
    </w:p>
    <w:p>
      <w:pPr>
        <w:spacing w:after="100"/>
      </w:pPr>
      <w:r>
        <w:rPr>
          <w:rFonts w:ascii="Arial" w:hAnsi="Arial"/>
          <w:b w:val="0"/>
          <w:sz w:val="21"/>
        </w:rPr>
        <w:t>– minimalny zakres pasma przenoszenia deklarowany przez producenta: 60 Hz–20 kHz;</w:t>
      </w:r>
    </w:p>
    <w:p>
      <w:pPr>
        <w:spacing w:after="100"/>
      </w:pPr>
      <w:r>
        <w:rPr>
          <w:rFonts w:ascii="Arial" w:hAnsi="Arial"/>
          <w:b w:val="0"/>
          <w:sz w:val="21"/>
        </w:rPr>
        <w:t>– zalecana przez producenta moc wzmacniacza nie mniejsza niż 800 W lub moc zestawu głośnikowego nie mniejsza niż 500 W;</w:t>
      </w:r>
    </w:p>
    <w:p>
      <w:pPr>
        <w:spacing w:after="100"/>
      </w:pPr>
      <w:r>
        <w:rPr>
          <w:rFonts w:ascii="Arial" w:hAnsi="Arial"/>
          <w:b w:val="0"/>
          <w:sz w:val="21"/>
        </w:rPr>
        <w:t>– skuteczność minimum 98 dB (1 W/1 m);</w:t>
      </w:r>
    </w:p>
    <w:p>
      <w:pPr>
        <w:spacing w:after="100"/>
      </w:pPr>
      <w:r>
        <w:rPr>
          <w:rFonts w:ascii="Arial" w:hAnsi="Arial"/>
          <w:b w:val="0"/>
          <w:sz w:val="21"/>
        </w:rPr>
        <w:t>– masa nie większa niż 21 kg;</w:t>
      </w:r>
    </w:p>
    <w:p>
      <w:pPr>
        <w:spacing w:after="100"/>
      </w:pPr>
      <w:r>
        <w:rPr>
          <w:rFonts w:ascii="Arial" w:hAnsi="Arial"/>
          <w:b w:val="0"/>
          <w:sz w:val="21"/>
        </w:rPr>
        <w:t>– obudowa mobilna.</w:t>
      </w:r>
    </w:p>
    <w:p>
      <w:pPr>
        <w:spacing w:after="100"/>
      </w:pPr>
      <w:r>
        <w:rPr>
          <w:rFonts w:ascii="Arial" w:hAnsi="Arial"/>
          <w:b/>
          <w:sz w:val="21"/>
        </w:rPr>
        <w:t>4) Pozycja nr 4 – Kolumny sceniczne pasywne 10 cali</w:t>
      </w:r>
    </w:p>
    <w:p>
      <w:pPr>
        <w:spacing w:after="100"/>
      </w:pPr>
      <w:r>
        <w:rPr>
          <w:rFonts w:ascii="Arial" w:hAnsi="Arial"/>
          <w:b w:val="0"/>
          <w:sz w:val="21"/>
        </w:rPr>
        <w:t>– głośnik niskotonowy o średnicy minimum 10";</w:t>
      </w:r>
    </w:p>
    <w:p>
      <w:pPr>
        <w:spacing w:after="100"/>
      </w:pPr>
      <w:r>
        <w:rPr>
          <w:rFonts w:ascii="Arial" w:hAnsi="Arial"/>
          <w:b w:val="0"/>
          <w:sz w:val="21"/>
        </w:rPr>
        <w:t>– minimalny zakres pasma przenoszenia deklarowany przez producenta: 65 Hz–18 kHz;</w:t>
      </w:r>
    </w:p>
    <w:p>
      <w:pPr>
        <w:spacing w:after="100"/>
      </w:pPr>
      <w:r>
        <w:rPr>
          <w:rFonts w:ascii="Arial" w:hAnsi="Arial"/>
          <w:b w:val="0"/>
          <w:sz w:val="21"/>
        </w:rPr>
        <w:t>– zalecana przez producenta moc wzmacniacza nie mniejsza niż 450 W lub moc zestawu głośnikowego nie mniejsza niż 250 W;</w:t>
      </w:r>
    </w:p>
    <w:p>
      <w:pPr>
        <w:spacing w:after="100"/>
      </w:pPr>
      <w:r>
        <w:rPr>
          <w:rFonts w:ascii="Arial" w:hAnsi="Arial"/>
          <w:b w:val="0"/>
          <w:sz w:val="21"/>
        </w:rPr>
        <w:t>– skuteczność minimum 94 dB (1 W/1 m);</w:t>
      </w:r>
    </w:p>
    <w:p>
      <w:pPr>
        <w:spacing w:after="100"/>
      </w:pPr>
      <w:r>
        <w:rPr>
          <w:rFonts w:ascii="Arial" w:hAnsi="Arial"/>
          <w:b w:val="0"/>
          <w:sz w:val="21"/>
        </w:rPr>
        <w:t>– masa nie większa niż 17 kg;</w:t>
      </w:r>
    </w:p>
    <w:p>
      <w:pPr>
        <w:spacing w:after="100"/>
      </w:pPr>
      <w:r>
        <w:rPr>
          <w:rFonts w:ascii="Arial" w:hAnsi="Arial"/>
          <w:b w:val="0"/>
          <w:sz w:val="21"/>
        </w:rPr>
        <w:t>– obudowa mobilna.</w:t>
      </w:r>
    </w:p>
    <w:p>
      <w:pPr>
        <w:spacing w:after="100"/>
      </w:pPr>
      <w:r>
        <w:rPr>
          <w:rFonts w:ascii="Arial" w:hAnsi="Arial"/>
          <w:b/>
          <w:sz w:val="21"/>
        </w:rPr>
        <w:t>§ 3. Zmiana Załącznika nr 1A</w:t>
      </w:r>
    </w:p>
    <w:p>
      <w:pPr>
        <w:spacing w:after="100"/>
      </w:pPr>
      <w:r>
        <w:rPr>
          <w:rFonts w:ascii="Arial" w:hAnsi="Arial"/>
          <w:b w:val="0"/>
          <w:sz w:val="21"/>
        </w:rPr>
        <w:t>W związku ze zmianą wymagań technicznych Załącznik nr 1A do SWZ – Formularz rzeczowo-cenowy zostaje odpowiednio dostosowany. Wykonawca wskazuje rzeczywiste oferowane parametry urządzeń zgodnie z aktualnym brzmieniem Załącznika nr 5 po Zmianie nr 3.</w:t>
      </w:r>
    </w:p>
    <w:p>
      <w:pPr>
        <w:spacing w:after="100"/>
      </w:pPr>
      <w:r>
        <w:rPr>
          <w:rFonts w:ascii="Arial" w:hAnsi="Arial"/>
          <w:b/>
          <w:sz w:val="21"/>
        </w:rPr>
        <w:t>§ 4. Zmiana terminów składania i otwarcia ofert</w:t>
      </w:r>
    </w:p>
    <w:p>
      <w:pPr>
        <w:spacing w:after="100"/>
      </w:pPr>
      <w:r>
        <w:rPr>
          <w:rFonts w:ascii="Arial" w:hAnsi="Arial"/>
          <w:b w:val="0"/>
          <w:sz w:val="21"/>
        </w:rPr>
        <w:t>Termin składania ofert ustala się na dzień 27.08.2026 r. do godz. 10:00.</w:t>
      </w:r>
    </w:p>
    <w:p>
      <w:pPr>
        <w:spacing w:after="100"/>
      </w:pPr>
      <w:r>
        <w:rPr>
          <w:rFonts w:ascii="Arial" w:hAnsi="Arial"/>
          <w:b w:val="0"/>
          <w:sz w:val="21"/>
        </w:rPr>
        <w:t>Termin otwarcia ofert ustala się na dzień 27.08.2026 r. o godz. 10:30.</w:t>
      </w:r>
    </w:p>
    <w:p>
      <w:pPr>
        <w:spacing w:after="100"/>
      </w:pPr>
      <w:r>
        <w:rPr>
          <w:rFonts w:ascii="Arial" w:hAnsi="Arial"/>
          <w:b w:val="0"/>
          <w:sz w:val="21"/>
        </w:rPr>
        <w:t>Termin związania ofertą ustala się do dnia 25.09.2026 r. włącznie.</w:t>
      </w:r>
    </w:p>
    <w:p>
      <w:pPr>
        <w:spacing w:after="100"/>
      </w:pPr>
      <w:r>
        <w:rPr>
          <w:rFonts w:ascii="Arial" w:hAnsi="Arial"/>
          <w:b/>
          <w:sz w:val="21"/>
        </w:rPr>
        <w:t>§ 5. Uzasadnienie zmian</w:t>
      </w:r>
    </w:p>
    <w:p>
      <w:pPr>
        <w:spacing w:after="100"/>
      </w:pPr>
      <w:r>
        <w:rPr>
          <w:rFonts w:ascii="Arial" w:hAnsi="Arial"/>
          <w:b w:val="0"/>
          <w:sz w:val="21"/>
        </w:rPr>
        <w:t>Wprowadzone zmiany mają na celu zwiększenie konkurencyjności postępowania oraz umożliwienie zaoferowania szerszej grupy profesjonalnych urządzeń dostępnych na rynku, przy zachowaniu wymaganej funkcjonalności i przydatności całego systemu do realizacji wydarzeń kulturalnych i edukacyjnych.</w:t>
      </w:r>
    </w:p>
    <w:p>
      <w:pPr>
        <w:spacing w:after="100"/>
      </w:pPr>
      <w:r>
        <w:rPr>
          <w:rFonts w:ascii="Arial" w:hAnsi="Arial"/>
          <w:b w:val="0"/>
          <w:sz w:val="21"/>
        </w:rPr>
        <w:t>Zmiany parametrów pozycji nr 1–4 uwzględniają różne sposoby deklarowania parametrów technicznych stosowane przez producentów profesjonalnych systemów nagłośnieniowych. Dopuszczenie alternatywnych parametrów dotyczących mocy wzmacniacza lub mocy zestawu/głośnika pozwala na uwzględnienie różnych konstrukcji i sposobów specyfikowania parametrów.</w:t>
      </w:r>
    </w:p>
    <w:p>
      <w:pPr>
        <w:spacing w:after="100"/>
      </w:pPr>
      <w:r>
        <w:rPr>
          <w:rFonts w:ascii="Arial" w:hAnsi="Arial"/>
          <w:b w:val="0"/>
          <w:sz w:val="21"/>
        </w:rPr>
        <w:t>Całość systemu nadal musi zapewniać właściwą współpracę poszczególnych elementów, w tym z oferowanymi wzmacniaczami, presetami DSP oraz pozostałymi elementami systemu nagłośnieniowego.</w:t>
      </w:r>
    </w:p>
    <w:p>
      <w:pPr>
        <w:spacing w:after="100"/>
      </w:pPr>
      <w:r>
        <w:rPr>
          <w:rFonts w:ascii="Arial" w:hAnsi="Arial"/>
          <w:b w:val="0"/>
          <w:sz w:val="21"/>
        </w:rPr>
        <w:t>Zmiany nie wskazują konkretnego producenta ani modelu urządzenia i pozostają związane z funkcją oraz przeznaczeniem przedmiotu zamówienia.</w:t>
      </w:r>
    </w:p>
    <w:p>
      <w:pPr>
        <w:spacing w:after="100"/>
      </w:pPr>
      <w:r>
        <w:rPr>
          <w:rFonts w:ascii="Arial" w:hAnsi="Arial"/>
          <w:b/>
          <w:sz w:val="21"/>
        </w:rPr>
        <w:t>§ 6. Pozostałe postanowienia</w:t>
      </w:r>
    </w:p>
    <w:p>
      <w:pPr>
        <w:spacing w:after="100"/>
      </w:pPr>
      <w:r>
        <w:rPr>
          <w:rFonts w:ascii="Arial" w:hAnsi="Arial"/>
          <w:b w:val="0"/>
          <w:sz w:val="21"/>
        </w:rPr>
        <w:t>Pozostałe postanowienia Specyfikacji Warunków Zamówienia, Załącznika nr 5 oraz Załącznika nr 1A, nieobjęte niniejszą zmianą, pozostają bez zmian.</w:t>
      </w:r>
    </w:p>
    <w:p>
      <w:pPr>
        <w:spacing w:after="100"/>
      </w:pPr>
      <w:r>
        <w:rPr>
          <w:rFonts w:ascii="Arial" w:hAnsi="Arial"/>
          <w:b/>
          <w:sz w:val="21"/>
        </w:rPr>
        <w:t>§ 7. Teksty ujednolicone</w:t>
      </w:r>
    </w:p>
    <w:p>
      <w:pPr>
        <w:spacing w:after="100"/>
      </w:pPr>
      <w:r>
        <w:rPr>
          <w:rFonts w:ascii="Arial" w:hAnsi="Arial"/>
          <w:b w:val="0"/>
          <w:sz w:val="21"/>
        </w:rPr>
        <w:t>Zamawiający udostępnia wraz z niniejszą zmianą:</w:t>
      </w:r>
    </w:p>
    <w:p>
      <w:pPr>
        <w:spacing w:after="100"/>
      </w:pPr>
      <w:r>
        <w:rPr>
          <w:rFonts w:ascii="Arial" w:hAnsi="Arial"/>
          <w:b w:val="0"/>
          <w:sz w:val="21"/>
        </w:rPr>
        <w:t>1. SWZ – tekst ujednolicony po Zmianie nr 3;</w:t>
      </w:r>
    </w:p>
    <w:p>
      <w:pPr>
        <w:spacing w:after="100"/>
      </w:pPr>
      <w:r>
        <w:rPr>
          <w:rFonts w:ascii="Arial" w:hAnsi="Arial"/>
          <w:b w:val="0"/>
          <w:sz w:val="21"/>
        </w:rPr>
        <w:t>2. Załącznik nr 5 do SWZ – tekst ujednolicony po Zmianie nr 3;</w:t>
      </w:r>
    </w:p>
    <w:p>
      <w:pPr>
        <w:spacing w:after="100"/>
      </w:pPr>
      <w:r>
        <w:rPr>
          <w:rFonts w:ascii="Arial" w:hAnsi="Arial"/>
          <w:b w:val="0"/>
          <w:sz w:val="21"/>
        </w:rPr>
        <w:t>3. Załącznik nr 1A do SWZ – tekst ujednolicony po Zmianie nr 3.</w:t>
      </w:r>
    </w:p>
    <w:p>
      <w:pPr>
        <w:spacing w:after="100"/>
      </w:pPr>
      <w:r>
        <w:rPr>
          <w:rFonts w:ascii="Arial" w:hAnsi="Arial"/>
          <w:b w:val="0"/>
          <w:sz w:val="21"/>
        </w:rPr>
        <w:t>Od dnia publikacji niniejszej zmiany do przygotowania oferty należy stosować wyłącznie dokumenty oznaczone jako teksty ujednolicone po Zmianie nr 3 z dnia 13.08.2026 r.</w:t>
      </w:r>
    </w:p>
    <w:p>
      <w:pPr>
        <w:spacing w:after="100"/>
      </w:pPr>
      <w:r>
        <w:rPr>
          <w:rFonts w:ascii="Arial" w:hAnsi="Arial"/>
          <w:b/>
          <w:sz w:val="21"/>
        </w:rPr>
        <w:t>§ 8. Załączniki publikowane wraz ze Zmianą nr 3</w:t>
      </w:r>
    </w:p>
    <w:p>
      <w:pPr>
        <w:spacing w:after="100"/>
      </w:pPr>
      <w:r>
        <w:rPr>
          <w:rFonts w:ascii="Arial" w:hAnsi="Arial"/>
          <w:b w:val="0"/>
          <w:sz w:val="21"/>
        </w:rPr>
        <w:t>Wraz z niniejszą zmianą Zamawiający udostępnia:</w:t>
      </w:r>
    </w:p>
    <w:p>
      <w:pPr>
        <w:spacing w:after="100"/>
      </w:pPr>
      <w:r>
        <w:rPr>
          <w:rFonts w:ascii="Arial" w:hAnsi="Arial"/>
          <w:b w:val="0"/>
          <w:sz w:val="21"/>
        </w:rPr>
        <w:t>1. Odpowiedzi na pytania wykonawcy dotyczące zmian wymagań technicznych systemu nagłośnieniowego;</w:t>
      </w:r>
    </w:p>
    <w:p>
      <w:pPr>
        <w:spacing w:after="100"/>
      </w:pPr>
      <w:r>
        <w:rPr>
          <w:rFonts w:ascii="Arial" w:hAnsi="Arial"/>
          <w:b w:val="0"/>
          <w:sz w:val="21"/>
        </w:rPr>
        <w:t>2. SWZ – tekst ujednolicony po Zmianie nr 3;</w:t>
      </w:r>
    </w:p>
    <w:p>
      <w:pPr>
        <w:spacing w:after="100"/>
      </w:pPr>
      <w:r>
        <w:rPr>
          <w:rFonts w:ascii="Arial" w:hAnsi="Arial"/>
          <w:b w:val="0"/>
          <w:sz w:val="21"/>
        </w:rPr>
        <w:t>3. Załącznik nr 5 do SWZ – tekst ujednolicony po Zmianie nr 3;</w:t>
      </w:r>
    </w:p>
    <w:p>
      <w:pPr>
        <w:spacing w:after="100"/>
      </w:pPr>
      <w:r>
        <w:rPr>
          <w:rFonts w:ascii="Arial" w:hAnsi="Arial"/>
          <w:b w:val="0"/>
          <w:sz w:val="21"/>
        </w:rPr>
        <w:t>4. Załącznik nr 1A do SWZ – tekst ujednolicony po Zmianie nr 3.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Zmiana nr 3 – ZAM.1.2026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sz w:val="16"/>
      </w:rPr>
      <w:t>Gminny Ośrodek Kultury, Sportu i Rekreacji w Dąbrowie Biskupiej • ZAM.1.2026 • Zmiana nr 3 • 13.08.2026 r.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