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8C55" w14:textId="502DF598" w:rsidR="00631135" w:rsidRPr="00F1260E" w:rsidRDefault="00631135" w:rsidP="00631135">
      <w:pPr>
        <w:spacing w:line="276" w:lineRule="auto"/>
        <w:jc w:val="right"/>
        <w:rPr>
          <w:rFonts w:asciiTheme="majorHAnsi" w:hAnsiTheme="majorHAnsi"/>
          <w:b/>
          <w:bCs/>
        </w:rPr>
      </w:pPr>
      <w:r w:rsidRPr="00F1260E">
        <w:rPr>
          <w:rFonts w:asciiTheme="majorHAnsi" w:hAnsiTheme="majorHAnsi"/>
          <w:b/>
          <w:bCs/>
        </w:rPr>
        <w:t xml:space="preserve">Załącznik nr </w:t>
      </w:r>
      <w:r w:rsidR="007D22CB">
        <w:rPr>
          <w:rFonts w:asciiTheme="majorHAnsi" w:hAnsiTheme="majorHAnsi"/>
          <w:b/>
          <w:bCs/>
        </w:rPr>
        <w:t>9</w:t>
      </w:r>
      <w:r w:rsidR="007D22CB" w:rsidRPr="00F1260E">
        <w:rPr>
          <w:rFonts w:asciiTheme="majorHAnsi" w:hAnsiTheme="majorHAnsi"/>
          <w:b/>
          <w:bCs/>
        </w:rPr>
        <w:t xml:space="preserve"> </w:t>
      </w:r>
      <w:r w:rsidRPr="00F1260E">
        <w:rPr>
          <w:rFonts w:asciiTheme="majorHAnsi" w:hAnsiTheme="majorHAnsi"/>
          <w:b/>
          <w:bCs/>
        </w:rPr>
        <w:t>do SWZ</w:t>
      </w:r>
    </w:p>
    <w:p w14:paraId="1E2ED971" w14:textId="5F6AA126" w:rsidR="00924B64" w:rsidRPr="00F1260E" w:rsidRDefault="00924B64" w:rsidP="00924B64">
      <w:pPr>
        <w:spacing w:before="100" w:beforeAutospacing="1" w:after="100" w:afterAutospacing="1" w:line="300" w:lineRule="atLeast"/>
        <w:jc w:val="center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F1260E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BRIEF</w:t>
      </w:r>
    </w:p>
    <w:p w14:paraId="4078BB34" w14:textId="3507FB81" w:rsidR="00924B64" w:rsidRPr="00F1260E" w:rsidRDefault="00924B64" w:rsidP="00924B64">
      <w:pPr>
        <w:spacing w:before="100" w:beforeAutospacing="1" w:after="100" w:afterAutospacing="1" w:line="300" w:lineRule="atLeast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F1260E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Program dofinansowań do magazynów energii</w:t>
      </w:r>
    </w:p>
    <w:p w14:paraId="0B08268E" w14:textId="77777777" w:rsidR="00924B64" w:rsidRPr="007E294B" w:rsidRDefault="00924B64" w:rsidP="00924B64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1. Tło i kontekst kampanii</w:t>
      </w:r>
    </w:p>
    <w:p w14:paraId="52BBC9E3" w14:textId="6C3934C3" w:rsidR="00924B64" w:rsidRDefault="00924B64" w:rsidP="00924B64">
      <w:p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NFOŚiGW planuje uruchomienie w III kwartale 2026 roku programu wspierającego instalację przydomowych magazynów energii elektrycznej. Program na celu rozwój odnawialnych źródeł energii i zwiększenie </w:t>
      </w:r>
      <w:proofErr w:type="spellStart"/>
      <w:r>
        <w:rPr>
          <w:rFonts w:ascii="Calibri" w:eastAsia="Times New Roman" w:hAnsi="Calibri" w:cs="Calibri"/>
          <w:kern w:val="0"/>
          <w:lang w:eastAsia="pl-PL"/>
          <w14:ligatures w14:val="none"/>
        </w:rPr>
        <w:t>autokonsum</w:t>
      </w:r>
      <w:r w:rsidR="0080314C">
        <w:rPr>
          <w:rFonts w:ascii="Calibri" w:eastAsia="Times New Roman" w:hAnsi="Calibri" w:cs="Calibri"/>
          <w:kern w:val="0"/>
          <w:lang w:eastAsia="pl-PL"/>
          <w14:ligatures w14:val="none"/>
        </w:rPr>
        <w:t>p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cji</w:t>
      </w:r>
      <w:proofErr w:type="spellEnd"/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energii elektrycznej (przez magazynowanie jej w domowych magazynach energii). </w:t>
      </w:r>
    </w:p>
    <w:p w14:paraId="093CDB11" w14:textId="429FFC3E" w:rsidR="00924B64" w:rsidRPr="007E294B" w:rsidRDefault="00924B64" w:rsidP="00924B64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ramach programu dostępne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będą</w:t>
      </w: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7E29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bezzwrotne dotacje</w:t>
      </w: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finansowane ze środków Krajowego Planu Odbudowy i Zwiększenia Odporności (KPO)</w:t>
      </w:r>
    </w:p>
    <w:p w14:paraId="322498A9" w14:textId="77777777" w:rsidR="00924B64" w:rsidRPr="007E294B" w:rsidRDefault="00924B64" w:rsidP="00924B64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2. Cel kampanii</w:t>
      </w:r>
    </w:p>
    <w:p w14:paraId="41015666" w14:textId="77777777" w:rsidR="00924B64" w:rsidRPr="007E294B" w:rsidRDefault="00924B64" w:rsidP="00924B64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Cel główny:</w:t>
      </w:r>
    </w:p>
    <w:p w14:paraId="6B5C5A13" w14:textId="7E421668" w:rsidR="00924B64" w:rsidRPr="007E294B" w:rsidRDefault="00924B64" w:rsidP="00924B64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Zachęcenie potencjalnych beneficjentów programu do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złożenia </w:t>
      </w:r>
      <w:r w:rsidRPr="007E29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wniosków o dofinansowanie w okresie naboru</w:t>
      </w: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50F86EA2" w14:textId="77777777" w:rsidR="00924B64" w:rsidRPr="007E294B" w:rsidRDefault="00924B64" w:rsidP="00924B64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Cele szczegółowe:</w:t>
      </w:r>
    </w:p>
    <w:p w14:paraId="65B90DB2" w14:textId="77777777" w:rsidR="00924B64" w:rsidRPr="007E294B" w:rsidRDefault="00924B64" w:rsidP="00924B6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>zwiększenie świadomości warunków programu,</w:t>
      </w:r>
    </w:p>
    <w:p w14:paraId="074F657F" w14:textId="77777777" w:rsidR="00924B64" w:rsidRPr="007E294B" w:rsidRDefault="00924B64" w:rsidP="00924B6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wyjaśnienie, </w:t>
      </w:r>
      <w:r w:rsidRPr="007E29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kto może skorzystać z dotacji i na co</w:t>
      </w: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0BF567F8" w14:textId="77777777" w:rsidR="00924B64" w:rsidRDefault="00924B64" w:rsidP="00924B6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>podkreślenie korzyści finansowych i energetycznych,</w:t>
      </w:r>
    </w:p>
    <w:p w14:paraId="039A5406" w14:textId="103ABC97" w:rsidR="00B31532" w:rsidRPr="00B31532" w:rsidRDefault="00B31532" w:rsidP="00B31532">
      <w:pPr>
        <w:pStyle w:val="Akapitzlist"/>
        <w:numPr>
          <w:ilvl w:val="0"/>
          <w:numId w:val="3"/>
        </w:numPr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s</w:t>
      </w: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kierowanie ruchu na stronę programu i zachęcenie do złożenia wniosku.</w:t>
      </w:r>
    </w:p>
    <w:p w14:paraId="4FCC17EC" w14:textId="77777777" w:rsidR="00924B64" w:rsidRPr="007E294B" w:rsidRDefault="00924B64" w:rsidP="00924B64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3. Grupa docelowa</w:t>
      </w:r>
    </w:p>
    <w:p w14:paraId="2190FD00" w14:textId="77777777" w:rsidR="00924B64" w:rsidRPr="007E294B" w:rsidRDefault="00924B64" w:rsidP="00924B6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>osoby fizyczne – prosumenci,</w:t>
      </w:r>
    </w:p>
    <w:p w14:paraId="52469A27" w14:textId="77777777" w:rsidR="00924B64" w:rsidRPr="007E294B" w:rsidRDefault="00924B64" w:rsidP="00924B6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>właściciele lub współwłaściciele istniejących budynków mieszkalnych,</w:t>
      </w:r>
    </w:p>
    <w:p w14:paraId="6CE9FC0A" w14:textId="77777777" w:rsidR="0080314C" w:rsidRDefault="00924B64" w:rsidP="0080314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rozliczający się w systemie </w:t>
      </w:r>
      <w:r w:rsidRPr="007E29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net</w:t>
      </w:r>
      <w:r w:rsidRPr="007E29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noBreakHyphen/>
        <w:t>billing (system wartościowy)</w:t>
      </w:r>
      <w:r w:rsidRPr="007E294B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3652CBC7" w14:textId="134DFA31" w:rsidR="00924B64" w:rsidRDefault="00924B64" w:rsidP="0080314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80314C">
        <w:rPr>
          <w:rFonts w:ascii="Calibri" w:eastAsia="Times New Roman" w:hAnsi="Calibri" w:cs="Calibri"/>
          <w:kern w:val="0"/>
          <w:lang w:eastAsia="pl-PL"/>
          <w14:ligatures w14:val="none"/>
        </w:rPr>
        <w:t>osoby planujące lub rozliczające inwestycję w OZE</w:t>
      </w:r>
      <w:r w:rsidR="00B31532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3D1E9EA2" w14:textId="77777777" w:rsidR="00B31532" w:rsidRPr="00B31532" w:rsidRDefault="00B31532" w:rsidP="00B31532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Profil psychograficzny (jak myśli i co czuje ta osoba)</w:t>
      </w:r>
    </w:p>
    <w:p w14:paraId="5AB86F76" w14:textId="15D6B3CA" w:rsidR="00B31532" w:rsidRPr="00B31532" w:rsidRDefault="00F95553" w:rsidP="00B31532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Potencjalny</w:t>
      </w: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B31532"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beneficjent to osoba, która kilka lat temu zainwestowała we własną </w:t>
      </w:r>
      <w:proofErr w:type="spellStart"/>
      <w:r w:rsidR="00B31532"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fotowoltaikę</w:t>
      </w:r>
      <w:proofErr w:type="spellEnd"/>
      <w:r w:rsidR="00B31532"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. Zrobiła to z myślą o oszczędnościach i niezależności energetycznej. Dziś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widzi, że do pełnej efektywności instalacji konieczny jest magazyn energii – tak by uniknąć sytuacji, w której w ciągu dnia </w:t>
      </w:r>
      <w:r w:rsidR="00B31532"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oddaje prąd do sieci za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tanio</w:t>
      </w:r>
      <w:r w:rsidR="00B31532"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, a wieczorem odkupuje go drogo. </w:t>
      </w:r>
    </w:p>
    <w:p w14:paraId="2E929303" w14:textId="110858F0" w:rsidR="00B31532" w:rsidRDefault="00B31532" w:rsidP="00B31532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Komunikat o dotacji do magazynu energii trafia w jej konkretną </w:t>
      </w:r>
      <w:r w:rsidR="00F95553">
        <w:rPr>
          <w:rFonts w:ascii="Calibri" w:eastAsia="Times New Roman" w:hAnsi="Calibri" w:cs="Calibri"/>
          <w:kern w:val="0"/>
          <w:lang w:eastAsia="pl-PL"/>
          <w14:ligatures w14:val="none"/>
        </w:rPr>
        <w:t>potrzebę</w:t>
      </w:r>
      <w:r w:rsidR="00F95553"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i oferuje praktyczne, finansowo uzasadnione rozwiązanie</w:t>
      </w:r>
      <w:r w:rsidR="00F95553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24CAE9D2" w14:textId="754E7B6E" w:rsidR="00924B64" w:rsidRDefault="00924B64" w:rsidP="00924B64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lastRenderedPageBreak/>
        <w:t>4</w:t>
      </w:r>
      <w:r w:rsidRPr="007E294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. </w:t>
      </w:r>
      <w:r w:rsidR="0006050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Kluczowe przekazy</w:t>
      </w:r>
    </w:p>
    <w:p w14:paraId="046B7B7E" w14:textId="472A5E98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Animacja trwa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6</w:t>
      </w: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0 sekund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. </w:t>
      </w: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Poniższa tabela definiuje hierarchię przekazów. Agencja powinna budować narrację wokół P1, używając P2 jako wyjaśnienia problemu, a P3 jedynie jeśli pozwoli czas.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B31532" w:rsidRPr="00B31532" w14:paraId="3D25157E" w14:textId="77777777"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4DD7054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Priorytet</w:t>
            </w:r>
          </w:p>
        </w:tc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E2AF87E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Przekaz</w:t>
            </w:r>
          </w:p>
        </w:tc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18BD989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Rola w animacji</w:t>
            </w:r>
          </w:p>
        </w:tc>
      </w:tr>
      <w:tr w:rsidR="00B31532" w:rsidRPr="00B31532" w14:paraId="547ACEF6" w14:textId="77777777"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AF2FB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2B64981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P1 – obowiązkowy</w:t>
            </w:r>
          </w:p>
        </w:tc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62EC5B0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 16 000 zł bezzwrotnej dotacji</w:t>
            </w:r>
          </w:p>
        </w:tc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B62B306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Dominujący komunikat, musi wybrzmieć jasno</w:t>
            </w:r>
          </w:p>
        </w:tc>
      </w:tr>
      <w:tr w:rsidR="00B31532" w:rsidRPr="00B31532" w14:paraId="185CF9E5" w14:textId="77777777"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6628EC9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P2 – ważny</w:t>
            </w:r>
          </w:p>
        </w:tc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E0C5937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Ekonomia net-billingu – kupujesz drogo, sprzedajesz tanio</w:t>
            </w:r>
          </w:p>
        </w:tc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AC73C32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Wyjaśnienie problemu, który dotacja rozwiązuje</w:t>
            </w:r>
          </w:p>
        </w:tc>
      </w:tr>
      <w:tr w:rsidR="00B31532" w:rsidRPr="00B31532" w14:paraId="09624D24" w14:textId="77777777"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AF2FB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1EB94B7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P3 – wspierający</w:t>
            </w:r>
          </w:p>
        </w:tc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5B5181C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Unikanie opłat dystrybucyjnych + backup</w:t>
            </w:r>
          </w:p>
        </w:tc>
        <w:tc>
          <w:tcPr>
            <w:tcW w:w="30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F6AA5AB" w14:textId="77777777" w:rsidR="00B31532" w:rsidRPr="00B31532" w:rsidRDefault="00B31532" w:rsidP="00B31532">
            <w:pPr>
              <w:spacing w:before="100" w:beforeAutospacing="1" w:after="100" w:afterAutospacing="1" w:line="300" w:lineRule="atLeast"/>
              <w:outlineLvl w:val="1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31532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Dodatkowe benefity, jeśli pozwoli czas</w:t>
            </w:r>
          </w:p>
        </w:tc>
      </w:tr>
    </w:tbl>
    <w:p w14:paraId="48581487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Szczegółowe rozwinięcie przekazów (materiał roboczy dla agencji)</w:t>
      </w:r>
    </w:p>
    <w:p w14:paraId="20F9920D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P1 – Dotacja do 16 000 zł</w:t>
      </w:r>
    </w:p>
    <w:p w14:paraId="2164AE1A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Bezzwrotna dotacja ze środków KPO na zakup i montaż przydomowego magazynu energii. Kwota do 16 000 zł – bez zwrotu, bez ukrytych warunków.</w:t>
      </w:r>
    </w:p>
    <w:p w14:paraId="4951F6FA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P2 – Ekonomia net-billingu (kupujesz drogo, sprzedajesz tanio)</w:t>
      </w:r>
    </w:p>
    <w:p w14:paraId="687CBEEB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W systemie net-billing nadwyżki energii sprzedajesz do sieci po cenach hurtowych, ale kiedy słońce nie świeci – kupujesz prąd po cenach detalicznych (wyższych o marżę, podatki i opłaty). Wynik: odsprzedajesz prąd za „grosze", a wieczorem odkupujesz go za „złotówki".</w:t>
      </w:r>
    </w:p>
    <w:p w14:paraId="037336D8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Bez magazynu: Twoja </w:t>
      </w:r>
      <w:proofErr w:type="spellStart"/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autokonsumpcja</w:t>
      </w:r>
      <w:proofErr w:type="spellEnd"/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wynosi ok. 20–30%. Resztę oddajesz taniej niż kupujesz.</w:t>
      </w:r>
    </w:p>
    <w:p w14:paraId="760BA8E6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 magazynem: Przechowujesz prąd z południa i zużywasz wieczorem. </w:t>
      </w:r>
      <w:proofErr w:type="spellStart"/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Autokonsumpcja</w:t>
      </w:r>
      <w:proofErr w:type="spellEnd"/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rośnie do 70–80%.</w:t>
      </w:r>
    </w:p>
    <w:p w14:paraId="279A7A29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P3a – Unikanie opłat dystrybucyjnych</w:t>
      </w:r>
    </w:p>
    <w:p w14:paraId="6C4D4844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Za każdą kWh pobraną z sieci płacisz zmienne opłaty dystrybucyjne. Magazyn pozwala ominąć licznik – prąd płynie z paneli do baterii, a potem bezpośrednio do urządzeń w domu, nie opuszczając Twojej instalacji.</w:t>
      </w:r>
    </w:p>
    <w:p w14:paraId="2E52FEEA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P3b – Stabilność i backup</w:t>
      </w:r>
    </w:p>
    <w:p w14:paraId="410A284E" w14:textId="788B811D" w:rsid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W słoneczne dni przeciążona sieć może wymuszać wyłączenie inwertera. Twój magazyn przyjmuje nadwyżki, więc produkujesz nieprzerwanie. Większość nowoczesnych magazynów oferuje też funkcję backupu – gdy w okolicy gaśnie światło, Ty nadal masz prąd.</w:t>
      </w:r>
    </w:p>
    <w:p w14:paraId="43069EB8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F6675B4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lastRenderedPageBreak/>
        <w:t xml:space="preserve">6. </w:t>
      </w:r>
      <w:r w:rsidRPr="00B3153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5. Ton komunikacji i styl wizualny</w:t>
      </w:r>
    </w:p>
    <w:p w14:paraId="58BE44DE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Ton</w:t>
      </w:r>
    </w:p>
    <w:p w14:paraId="1664E79F" w14:textId="77777777" w:rsidR="00B31532" w:rsidRPr="00B31532" w:rsidRDefault="00B31532" w:rsidP="00B31532">
      <w:pPr>
        <w:numPr>
          <w:ilvl w:val="0"/>
          <w:numId w:val="18"/>
        </w:num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Przystępny, konkretny, rzeczowy. Mówimy do dorosłej, myślącej osoby – nie infantylizujemy.</w:t>
      </w:r>
    </w:p>
    <w:p w14:paraId="3816729D" w14:textId="77777777" w:rsidR="00B31532" w:rsidRPr="00B31532" w:rsidRDefault="00B31532" w:rsidP="00B31532">
      <w:pPr>
        <w:numPr>
          <w:ilvl w:val="0"/>
          <w:numId w:val="18"/>
        </w:num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Finansowy, nie ekologiczny. Argumenty oparte na oszczędnościach i niezależności, nie na wartościach środowiskowych.</w:t>
      </w:r>
    </w:p>
    <w:p w14:paraId="5037BF2F" w14:textId="77777777" w:rsidR="00B31532" w:rsidRPr="00B31532" w:rsidRDefault="00B31532" w:rsidP="00B31532">
      <w:pPr>
        <w:numPr>
          <w:ilvl w:val="0"/>
          <w:numId w:val="18"/>
        </w:num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Empatyczny. Zaczynamy od walidacji problemu prosumenta, nie od "reklamowania programu".</w:t>
      </w:r>
    </w:p>
    <w:p w14:paraId="05AE593A" w14:textId="77777777" w:rsidR="00B31532" w:rsidRPr="00B31532" w:rsidRDefault="00B31532" w:rsidP="00B31532">
      <w:pPr>
        <w:numPr>
          <w:ilvl w:val="0"/>
          <w:numId w:val="18"/>
        </w:num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Nie urzędowy. NFOŚiGW jest nadawcą formalnym, ale ton ma być bliski odbiorcy – bez biurokratycznego języka.</w:t>
      </w:r>
    </w:p>
    <w:p w14:paraId="31E25258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Styl wizualny</w:t>
      </w:r>
    </w:p>
    <w:p w14:paraId="527DD202" w14:textId="77777777" w:rsidR="00B31532" w:rsidRPr="00B31532" w:rsidRDefault="00B31532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Oczekujemy nowoczesnej, czystej animacji 2D lub </w:t>
      </w:r>
      <w:proofErr w:type="spellStart"/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motion</w:t>
      </w:r>
      <w:proofErr w:type="spellEnd"/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design (styl </w:t>
      </w:r>
      <w:proofErr w:type="spellStart"/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flat</w:t>
      </w:r>
      <w:proofErr w:type="spellEnd"/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/</w:t>
      </w:r>
      <w:proofErr w:type="spellStart"/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semi-flat</w:t>
      </w:r>
      <w:proofErr w:type="spellEnd"/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). Wizualnie animacja powinna kojarzyć się z nowoczesnością, technologią i spokojem – nie z ciężkim przemysłem energetycznym ani z chaotyczną grafiką marketingową.</w:t>
      </w:r>
    </w:p>
    <w:p w14:paraId="3BD6C007" w14:textId="77777777" w:rsidR="00B31532" w:rsidRPr="00B31532" w:rsidRDefault="00B31532" w:rsidP="00B31532">
      <w:pPr>
        <w:numPr>
          <w:ilvl w:val="0"/>
          <w:numId w:val="18"/>
        </w:num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Dominujące kolory: biel, akcenty zieleni (energia) i granatu/niebieskiego (instytucja, zaufanie).</w:t>
      </w:r>
    </w:p>
    <w:p w14:paraId="389191C7" w14:textId="77777777" w:rsidR="00B31532" w:rsidRPr="00B31532" w:rsidRDefault="00B31532" w:rsidP="00B31532">
      <w:pPr>
        <w:numPr>
          <w:ilvl w:val="0"/>
          <w:numId w:val="18"/>
        </w:num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Unikamy przeładowania informacjami na ekranie – zasada: jeden ekran, jeden komunikat.</w:t>
      </w:r>
    </w:p>
    <w:p w14:paraId="5EF3E8B5" w14:textId="532E6B9A" w:rsidR="00B31532" w:rsidRPr="002F15A1" w:rsidRDefault="00B31532" w:rsidP="00B31532">
      <w:pPr>
        <w:numPr>
          <w:ilvl w:val="0"/>
          <w:numId w:val="18"/>
        </w:num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31532">
        <w:rPr>
          <w:rFonts w:ascii="Calibri" w:eastAsia="Times New Roman" w:hAnsi="Calibri" w:cs="Calibri"/>
          <w:kern w:val="0"/>
          <w:lang w:eastAsia="pl-PL"/>
          <w14:ligatures w14:val="none"/>
        </w:rPr>
        <w:t>Animacja powinna mieć wyraźny rytm narracyjny: problem → rozwiązanie → CTA.</w:t>
      </w:r>
    </w:p>
    <w:p w14:paraId="6FCF8B24" w14:textId="5A6139D1" w:rsidR="0006050F" w:rsidRDefault="00E7448A" w:rsidP="00B31532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5. Zadanie do wykonania</w:t>
      </w:r>
    </w:p>
    <w:p w14:paraId="1E1BD22F" w14:textId="49D30CC4" w:rsidR="005B22FD" w:rsidRPr="005B22FD" w:rsidRDefault="005B22FD" w:rsidP="005B22FD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>1.</w:t>
      </w:r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ab/>
        <w:t xml:space="preserve">Koncepcja kreatywna, scenariusz i </w:t>
      </w:r>
      <w:proofErr w:type="spellStart"/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>storyboard</w:t>
      </w:r>
      <w:proofErr w:type="spellEnd"/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– 30-sekundow</w:t>
      </w:r>
      <w:r w:rsidR="008F7F70">
        <w:rPr>
          <w:rFonts w:ascii="Calibri" w:eastAsia="Times New Roman" w:hAnsi="Calibri" w:cs="Calibri"/>
          <w:kern w:val="0"/>
          <w:lang w:eastAsia="pl-PL"/>
          <w14:ligatures w14:val="none"/>
        </w:rPr>
        <w:t>a</w:t>
      </w:r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animacj</w:t>
      </w:r>
      <w:r w:rsidR="008F7F70">
        <w:rPr>
          <w:rFonts w:ascii="Calibri" w:eastAsia="Times New Roman" w:hAnsi="Calibri" w:cs="Calibri"/>
          <w:kern w:val="0"/>
          <w:lang w:eastAsia="pl-PL"/>
          <w14:ligatures w14:val="none"/>
        </w:rPr>
        <w:t>a</w:t>
      </w:r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realizując</w:t>
      </w:r>
      <w:r w:rsidR="008F7F70">
        <w:rPr>
          <w:rFonts w:ascii="Calibri" w:eastAsia="Times New Roman" w:hAnsi="Calibri" w:cs="Calibri"/>
          <w:kern w:val="0"/>
          <w:lang w:eastAsia="pl-PL"/>
          <w14:ligatures w14:val="none"/>
        </w:rPr>
        <w:t>a</w:t>
      </w:r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cel określony w </w:t>
      </w:r>
      <w:proofErr w:type="spellStart"/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>briefie</w:t>
      </w:r>
      <w:proofErr w:type="spellEnd"/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5A8476F4" w14:textId="2C58814D" w:rsidR="00E7448A" w:rsidRDefault="005B22FD" w:rsidP="005B22FD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>2.</w:t>
      </w:r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proofErr w:type="spellStart"/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>Key</w:t>
      </w:r>
      <w:proofErr w:type="spellEnd"/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proofErr w:type="spellStart"/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>visual</w:t>
      </w:r>
      <w:proofErr w:type="spellEnd"/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animacj</w:t>
      </w:r>
      <w:r w:rsidR="00902956">
        <w:rPr>
          <w:rFonts w:ascii="Calibri" w:eastAsia="Times New Roman" w:hAnsi="Calibri" w:cs="Calibri"/>
          <w:kern w:val="0"/>
          <w:lang w:eastAsia="pl-PL"/>
          <w14:ligatures w14:val="none"/>
        </w:rPr>
        <w:t>a</w:t>
      </w:r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–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jedn</w:t>
      </w:r>
      <w:r w:rsidR="00902956">
        <w:rPr>
          <w:rFonts w:ascii="Calibri" w:eastAsia="Times New Roman" w:hAnsi="Calibri" w:cs="Calibri"/>
          <w:kern w:val="0"/>
          <w:lang w:eastAsia="pl-PL"/>
          <w14:ligatures w14:val="none"/>
        </w:rPr>
        <w:t>o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ujęcie animacji</w:t>
      </w:r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prezentując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e</w:t>
      </w:r>
      <w:r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proponowany styl graficzny.</w:t>
      </w:r>
      <w:r w:rsidR="00E7448A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4CF30FE8" w14:textId="34A0CBBC" w:rsidR="00E7448A" w:rsidRDefault="005B22FD" w:rsidP="00924B64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6. Elementy obowiązkowe</w:t>
      </w:r>
    </w:p>
    <w:p w14:paraId="06C058FD" w14:textId="0B48234B" w:rsidR="001F03FC" w:rsidRDefault="001F03FC" w:rsidP="001F03FC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Zestaw logotypów: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drawing>
          <wp:inline distT="0" distB="0" distL="0" distR="0" wp14:anchorId="72D8A202" wp14:editId="3FEDDFA3">
            <wp:extent cx="5280660" cy="428995"/>
            <wp:effectExtent l="0" t="0" r="0" b="9525"/>
            <wp:docPr id="90292934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847" cy="42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2F499" w14:textId="238D1D75" w:rsidR="002F15A1" w:rsidRPr="005B22FD" w:rsidRDefault="001F03FC" w:rsidP="002F15A1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Logotyp programu</w:t>
      </w:r>
      <w:r w:rsidR="002F15A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7548666F" w14:textId="536E7A7B" w:rsidR="001F03FC" w:rsidRDefault="001F03FC" w:rsidP="00924B64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drawing>
          <wp:inline distT="0" distB="0" distL="0" distR="0" wp14:anchorId="664E48E2" wp14:editId="50778C71">
            <wp:extent cx="720876" cy="731520"/>
            <wp:effectExtent l="0" t="0" r="0" b="0"/>
            <wp:docPr id="62952680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23" cy="73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5E26A" w14:textId="34E857A8" w:rsidR="009D4B1D" w:rsidRDefault="00EC1153" w:rsidP="00924B64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A</w:t>
      </w:r>
      <w:r w:rsidR="009D4B1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dres </w:t>
      </w:r>
      <w:r w:rsidR="009D4B1D"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>stron</w:t>
      </w:r>
      <w:r w:rsidR="009D4B1D">
        <w:rPr>
          <w:rFonts w:ascii="Calibri" w:eastAsia="Times New Roman" w:hAnsi="Calibri" w:cs="Calibri"/>
          <w:kern w:val="0"/>
          <w:lang w:eastAsia="pl-PL"/>
          <w14:ligatures w14:val="none"/>
        </w:rPr>
        <w:t>y</w:t>
      </w:r>
      <w:r w:rsidR="009D4B1D"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programu</w:t>
      </w:r>
      <w:r w:rsidR="009D4B1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: </w:t>
      </w:r>
      <w:r w:rsidR="009D4B1D" w:rsidRPr="005B22FD">
        <w:rPr>
          <w:rFonts w:ascii="Calibri" w:eastAsia="Times New Roman" w:hAnsi="Calibri" w:cs="Calibri"/>
          <w:kern w:val="0"/>
          <w:lang w:eastAsia="pl-PL"/>
          <w14:ligatures w14:val="none"/>
        </w:rPr>
        <w:t>magazynyenergii.gov.p</w:t>
      </w:r>
      <w:r w:rsidR="009D4B1D">
        <w:rPr>
          <w:rFonts w:ascii="Calibri" w:eastAsia="Times New Roman" w:hAnsi="Calibri" w:cs="Calibri"/>
          <w:kern w:val="0"/>
          <w:lang w:eastAsia="pl-PL"/>
          <w14:ligatures w14:val="none"/>
        </w:rPr>
        <w:t>l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</w:t>
      </w:r>
    </w:p>
    <w:sectPr w:rsidR="009D4B1D" w:rsidSect="00924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B3A6A"/>
    <w:multiLevelType w:val="multilevel"/>
    <w:tmpl w:val="6E36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C402C"/>
    <w:multiLevelType w:val="multilevel"/>
    <w:tmpl w:val="2FCE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E0600"/>
    <w:multiLevelType w:val="multilevel"/>
    <w:tmpl w:val="C96E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24AAF"/>
    <w:multiLevelType w:val="multilevel"/>
    <w:tmpl w:val="9D4A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C1648"/>
    <w:multiLevelType w:val="multilevel"/>
    <w:tmpl w:val="1C46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22161"/>
    <w:multiLevelType w:val="multilevel"/>
    <w:tmpl w:val="86D0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42FD9"/>
    <w:multiLevelType w:val="hybridMultilevel"/>
    <w:tmpl w:val="B99AF388"/>
    <w:lvl w:ilvl="0" w:tplc="2848DDA4">
      <w:start w:val="1"/>
      <w:numFmt w:val="bullet"/>
      <w:lvlText w:val="•"/>
      <w:lvlJc w:val="left"/>
      <w:pPr>
        <w:ind w:left="720" w:hanging="360"/>
      </w:pPr>
    </w:lvl>
    <w:lvl w:ilvl="1" w:tplc="853CDBD0">
      <w:numFmt w:val="decimal"/>
      <w:lvlText w:val=""/>
      <w:lvlJc w:val="left"/>
      <w:pPr>
        <w:ind w:left="0" w:firstLine="0"/>
      </w:pPr>
    </w:lvl>
    <w:lvl w:ilvl="2" w:tplc="64CC8020">
      <w:numFmt w:val="decimal"/>
      <w:lvlText w:val=""/>
      <w:lvlJc w:val="left"/>
      <w:pPr>
        <w:ind w:left="0" w:firstLine="0"/>
      </w:pPr>
    </w:lvl>
    <w:lvl w:ilvl="3" w:tplc="D3D662CE">
      <w:numFmt w:val="decimal"/>
      <w:lvlText w:val=""/>
      <w:lvlJc w:val="left"/>
      <w:pPr>
        <w:ind w:left="0" w:firstLine="0"/>
      </w:pPr>
    </w:lvl>
    <w:lvl w:ilvl="4" w:tplc="F564996A">
      <w:numFmt w:val="decimal"/>
      <w:lvlText w:val=""/>
      <w:lvlJc w:val="left"/>
      <w:pPr>
        <w:ind w:left="0" w:firstLine="0"/>
      </w:pPr>
    </w:lvl>
    <w:lvl w:ilvl="5" w:tplc="0734AEE0">
      <w:numFmt w:val="decimal"/>
      <w:lvlText w:val=""/>
      <w:lvlJc w:val="left"/>
      <w:pPr>
        <w:ind w:left="0" w:firstLine="0"/>
      </w:pPr>
    </w:lvl>
    <w:lvl w:ilvl="6" w:tplc="794612B2">
      <w:numFmt w:val="decimal"/>
      <w:lvlText w:val=""/>
      <w:lvlJc w:val="left"/>
      <w:pPr>
        <w:ind w:left="0" w:firstLine="0"/>
      </w:pPr>
    </w:lvl>
    <w:lvl w:ilvl="7" w:tplc="87D46C0C">
      <w:numFmt w:val="decimal"/>
      <w:lvlText w:val=""/>
      <w:lvlJc w:val="left"/>
      <w:pPr>
        <w:ind w:left="0" w:firstLine="0"/>
      </w:pPr>
    </w:lvl>
    <w:lvl w:ilvl="8" w:tplc="62ACFF1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A9D663A"/>
    <w:multiLevelType w:val="multilevel"/>
    <w:tmpl w:val="0F4A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C11876"/>
    <w:multiLevelType w:val="multilevel"/>
    <w:tmpl w:val="47F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1079D"/>
    <w:multiLevelType w:val="multilevel"/>
    <w:tmpl w:val="6408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C81DCC"/>
    <w:multiLevelType w:val="multilevel"/>
    <w:tmpl w:val="8D92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D5B57"/>
    <w:multiLevelType w:val="multilevel"/>
    <w:tmpl w:val="D006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A535F5"/>
    <w:multiLevelType w:val="multilevel"/>
    <w:tmpl w:val="6ED6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815418"/>
    <w:multiLevelType w:val="multilevel"/>
    <w:tmpl w:val="CFD6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C57B5A"/>
    <w:multiLevelType w:val="multilevel"/>
    <w:tmpl w:val="1344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D834E7"/>
    <w:multiLevelType w:val="multilevel"/>
    <w:tmpl w:val="5D9A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FE23D1"/>
    <w:multiLevelType w:val="multilevel"/>
    <w:tmpl w:val="71A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54172D"/>
    <w:multiLevelType w:val="hybridMultilevel"/>
    <w:tmpl w:val="20629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69103">
    <w:abstractNumId w:val="17"/>
  </w:num>
  <w:num w:numId="2" w16cid:durableId="1901089937">
    <w:abstractNumId w:val="3"/>
  </w:num>
  <w:num w:numId="3" w16cid:durableId="45227014">
    <w:abstractNumId w:val="16"/>
  </w:num>
  <w:num w:numId="4" w16cid:durableId="972245988">
    <w:abstractNumId w:val="7"/>
  </w:num>
  <w:num w:numId="5" w16cid:durableId="1824547081">
    <w:abstractNumId w:val="11"/>
  </w:num>
  <w:num w:numId="6" w16cid:durableId="1178158173">
    <w:abstractNumId w:val="14"/>
  </w:num>
  <w:num w:numId="7" w16cid:durableId="766537476">
    <w:abstractNumId w:val="13"/>
  </w:num>
  <w:num w:numId="8" w16cid:durableId="69156928">
    <w:abstractNumId w:val="12"/>
  </w:num>
  <w:num w:numId="9" w16cid:durableId="2117360486">
    <w:abstractNumId w:val="4"/>
  </w:num>
  <w:num w:numId="10" w16cid:durableId="1788617347">
    <w:abstractNumId w:val="2"/>
  </w:num>
  <w:num w:numId="11" w16cid:durableId="441848128">
    <w:abstractNumId w:val="8"/>
  </w:num>
  <w:num w:numId="12" w16cid:durableId="455834946">
    <w:abstractNumId w:val="15"/>
  </w:num>
  <w:num w:numId="13" w16cid:durableId="169489694">
    <w:abstractNumId w:val="1"/>
  </w:num>
  <w:num w:numId="14" w16cid:durableId="74980817">
    <w:abstractNumId w:val="0"/>
  </w:num>
  <w:num w:numId="15" w16cid:durableId="820579476">
    <w:abstractNumId w:val="5"/>
  </w:num>
  <w:num w:numId="16" w16cid:durableId="995574680">
    <w:abstractNumId w:val="10"/>
  </w:num>
  <w:num w:numId="17" w16cid:durableId="1198591841">
    <w:abstractNumId w:val="9"/>
  </w:num>
  <w:num w:numId="18" w16cid:durableId="1769041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50"/>
    <w:rsid w:val="0006050F"/>
    <w:rsid w:val="00071BC5"/>
    <w:rsid w:val="00076F29"/>
    <w:rsid w:val="00113084"/>
    <w:rsid w:val="00117076"/>
    <w:rsid w:val="00170F02"/>
    <w:rsid w:val="00177AFC"/>
    <w:rsid w:val="001F03FC"/>
    <w:rsid w:val="001F11F0"/>
    <w:rsid w:val="00265419"/>
    <w:rsid w:val="00296F76"/>
    <w:rsid w:val="002A7B5A"/>
    <w:rsid w:val="002F15A1"/>
    <w:rsid w:val="00352582"/>
    <w:rsid w:val="00397252"/>
    <w:rsid w:val="00411D8D"/>
    <w:rsid w:val="00455B4F"/>
    <w:rsid w:val="00463910"/>
    <w:rsid w:val="0048116D"/>
    <w:rsid w:val="00487C66"/>
    <w:rsid w:val="004B034C"/>
    <w:rsid w:val="004E1FE8"/>
    <w:rsid w:val="00506ECA"/>
    <w:rsid w:val="00573C4D"/>
    <w:rsid w:val="005B0F34"/>
    <w:rsid w:val="005B22FD"/>
    <w:rsid w:val="005E0565"/>
    <w:rsid w:val="00612E10"/>
    <w:rsid w:val="00631135"/>
    <w:rsid w:val="00747150"/>
    <w:rsid w:val="0075521A"/>
    <w:rsid w:val="007A3CF5"/>
    <w:rsid w:val="007A682D"/>
    <w:rsid w:val="007C7DF3"/>
    <w:rsid w:val="007D22CB"/>
    <w:rsid w:val="007E294B"/>
    <w:rsid w:val="0080314C"/>
    <w:rsid w:val="008D6E8B"/>
    <w:rsid w:val="008F7F70"/>
    <w:rsid w:val="00902956"/>
    <w:rsid w:val="00924B64"/>
    <w:rsid w:val="00963500"/>
    <w:rsid w:val="00987D3F"/>
    <w:rsid w:val="00987F94"/>
    <w:rsid w:val="009D4B1D"/>
    <w:rsid w:val="009E1EDC"/>
    <w:rsid w:val="00A66FFC"/>
    <w:rsid w:val="00A74DDC"/>
    <w:rsid w:val="00AD002A"/>
    <w:rsid w:val="00B031CA"/>
    <w:rsid w:val="00B31532"/>
    <w:rsid w:val="00B433BC"/>
    <w:rsid w:val="00B52CC7"/>
    <w:rsid w:val="00BA4B88"/>
    <w:rsid w:val="00BC3988"/>
    <w:rsid w:val="00BD1048"/>
    <w:rsid w:val="00C37288"/>
    <w:rsid w:val="00C57AA4"/>
    <w:rsid w:val="00CA6952"/>
    <w:rsid w:val="00CD51C2"/>
    <w:rsid w:val="00D12A05"/>
    <w:rsid w:val="00D25171"/>
    <w:rsid w:val="00D33D5C"/>
    <w:rsid w:val="00DD6F0B"/>
    <w:rsid w:val="00E7448A"/>
    <w:rsid w:val="00EC1153"/>
    <w:rsid w:val="00F1260E"/>
    <w:rsid w:val="00F478EF"/>
    <w:rsid w:val="00F90ACA"/>
    <w:rsid w:val="00F9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B842"/>
  <w15:chartTrackingRefBased/>
  <w15:docId w15:val="{C5C8157E-6041-4652-A9A8-E96250C3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7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7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7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7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7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7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7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7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7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7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7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71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71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71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71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71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71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7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7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7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7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7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71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71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71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7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71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715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24B6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4B6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72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72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72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2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25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95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682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Połeć Aneta</dc:creator>
  <cp:keywords/>
  <dc:description/>
  <cp:lastModifiedBy>Wróblewski Rafał</cp:lastModifiedBy>
  <cp:revision>16</cp:revision>
  <dcterms:created xsi:type="dcterms:W3CDTF">2026-06-26T10:56:00Z</dcterms:created>
  <dcterms:modified xsi:type="dcterms:W3CDTF">2026-07-17T07:56:00Z</dcterms:modified>
</cp:coreProperties>
</file>