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1BD725C" w:rsidR="0044605B" w:rsidRPr="00023F6E" w:rsidRDefault="00912B1E" w:rsidP="00912B1E">
      <w:pPr>
        <w:widowControl w:val="0"/>
        <w:pBdr>
          <w:top w:val="nil"/>
          <w:left w:val="nil"/>
          <w:bottom w:val="nil"/>
          <w:right w:val="nil"/>
          <w:between w:val="nil"/>
        </w:pBdr>
        <w:spacing w:line="276" w:lineRule="auto"/>
        <w:jc w:val="right"/>
        <w:rPr>
          <w:rFonts w:ascii="Calibri" w:hAnsi="Calibri" w:cs="Calibri"/>
        </w:rPr>
      </w:pPr>
      <w:r>
        <w:rPr>
          <w:rFonts w:ascii="Calibri" w:hAnsi="Calibri" w:cs="Calibri"/>
        </w:rPr>
        <w:t>Załącznik nr 1 do SWZ</w:t>
      </w:r>
    </w:p>
    <w:p w14:paraId="00000002" w14:textId="77777777" w:rsidR="0044605B" w:rsidRPr="00023F6E" w:rsidRDefault="006D749C">
      <w:pPr>
        <w:tabs>
          <w:tab w:val="left" w:pos="8135"/>
        </w:tabs>
        <w:rPr>
          <w:rFonts w:ascii="Calibri" w:eastAsia="Aptos" w:hAnsi="Calibri" w:cs="Calibri"/>
          <w:b/>
        </w:rPr>
      </w:pPr>
      <w:r>
        <w:rPr>
          <w:rFonts w:ascii="Calibri" w:eastAsia="Aptos" w:hAnsi="Calibri" w:cs="Calibri"/>
          <w:b/>
        </w:rPr>
        <w:tab/>
      </w:r>
    </w:p>
    <w:p w14:paraId="00000032" w14:textId="77777777" w:rsidR="0044605B" w:rsidRPr="00023F6E" w:rsidRDefault="0044605B">
      <w:pPr>
        <w:rPr>
          <w:rFonts w:ascii="Calibri" w:eastAsia="Aptos" w:hAnsi="Calibri" w:cs="Calibri"/>
          <w:b/>
          <w:sz w:val="38"/>
          <w:szCs w:val="38"/>
        </w:rPr>
      </w:pPr>
    </w:p>
    <w:p w14:paraId="00000033" w14:textId="77777777" w:rsidR="0044605B" w:rsidRPr="00023F6E" w:rsidRDefault="006D749C">
      <w:pPr>
        <w:jc w:val="center"/>
        <w:rPr>
          <w:rFonts w:ascii="Calibri" w:eastAsia="Aptos" w:hAnsi="Calibri" w:cs="Calibri"/>
          <w:b/>
          <w:sz w:val="38"/>
          <w:szCs w:val="38"/>
        </w:rPr>
      </w:pPr>
      <w:r>
        <w:rPr>
          <w:rFonts w:ascii="Calibri" w:eastAsia="Aptos" w:hAnsi="Calibri" w:cs="Calibri"/>
          <w:b/>
          <w:sz w:val="38"/>
          <w:szCs w:val="38"/>
        </w:rPr>
        <w:t>Opis Przedmiotu Zamówienia</w:t>
      </w:r>
    </w:p>
    <w:p w14:paraId="00000034" w14:textId="77777777" w:rsidR="0044605B" w:rsidRPr="00023F6E" w:rsidRDefault="0044605B">
      <w:pPr>
        <w:jc w:val="center"/>
        <w:rPr>
          <w:rFonts w:ascii="Calibri" w:eastAsia="Aptos" w:hAnsi="Calibri" w:cs="Calibri"/>
          <w:b/>
          <w:sz w:val="26"/>
          <w:szCs w:val="26"/>
        </w:rPr>
      </w:pPr>
    </w:p>
    <w:p w14:paraId="00000035" w14:textId="77777777" w:rsidR="0044605B" w:rsidRPr="00023F6E" w:rsidRDefault="0044605B">
      <w:pPr>
        <w:jc w:val="center"/>
        <w:rPr>
          <w:rFonts w:ascii="Calibri" w:eastAsia="Aptos" w:hAnsi="Calibri" w:cs="Calibri"/>
          <w:b/>
          <w:sz w:val="26"/>
          <w:szCs w:val="26"/>
        </w:rPr>
      </w:pPr>
      <w:bookmarkStart w:id="0" w:name="_heading=h.t1cz8f1z1m9m" w:colFirst="0" w:colLast="0"/>
      <w:bookmarkEnd w:id="0"/>
    </w:p>
    <w:p w14:paraId="00000036" w14:textId="77777777" w:rsidR="0044605B" w:rsidRPr="00023F6E" w:rsidRDefault="006D749C">
      <w:pPr>
        <w:jc w:val="center"/>
        <w:rPr>
          <w:rFonts w:ascii="Calibri" w:eastAsia="Aptos" w:hAnsi="Calibri" w:cs="Calibri"/>
          <w:b/>
          <w:sz w:val="26"/>
          <w:szCs w:val="26"/>
        </w:rPr>
      </w:pPr>
      <w:r>
        <w:rPr>
          <w:rFonts w:ascii="Calibri" w:eastAsia="Aptos" w:hAnsi="Calibri" w:cs="Calibri"/>
          <w:b/>
          <w:sz w:val="26"/>
          <w:szCs w:val="26"/>
        </w:rPr>
        <w:t xml:space="preserve">Dostawa sprzętu i oprogramowania teleinformatycznego w ramach projektu </w:t>
      </w:r>
    </w:p>
    <w:p w14:paraId="00000037" w14:textId="4096DE37" w:rsidR="0044605B" w:rsidRPr="00023F6E" w:rsidRDefault="006D749C">
      <w:pPr>
        <w:jc w:val="center"/>
        <w:rPr>
          <w:rFonts w:ascii="Calibri" w:eastAsia="Aptos" w:hAnsi="Calibri" w:cs="Calibri"/>
          <w:b/>
          <w:sz w:val="26"/>
          <w:szCs w:val="26"/>
        </w:rPr>
      </w:pPr>
      <w:bookmarkStart w:id="1" w:name="_heading=h.9mwgo8cjoae6" w:colFirst="0" w:colLast="0"/>
      <w:bookmarkEnd w:id="1"/>
      <w:r>
        <w:rPr>
          <w:rFonts w:ascii="Calibri" w:eastAsia="Aptos" w:hAnsi="Calibri" w:cs="Calibri"/>
          <w:b/>
          <w:sz w:val="26"/>
          <w:szCs w:val="26"/>
        </w:rPr>
        <w:t xml:space="preserve">Zwiększenie cyberbezpieczeństwa w gminie Perlejewo w ramach projektu </w:t>
      </w:r>
    </w:p>
    <w:p w14:paraId="00000038" w14:textId="77777777" w:rsidR="0044605B" w:rsidRPr="00023F6E" w:rsidRDefault="006D749C">
      <w:pPr>
        <w:jc w:val="center"/>
        <w:rPr>
          <w:rFonts w:ascii="Calibri" w:eastAsia="Aptos" w:hAnsi="Calibri" w:cs="Calibri"/>
          <w:b/>
          <w:sz w:val="26"/>
          <w:szCs w:val="26"/>
        </w:rPr>
      </w:pPr>
      <w:r>
        <w:rPr>
          <w:rFonts w:ascii="Calibri" w:eastAsia="Aptos" w:hAnsi="Calibri" w:cs="Calibri"/>
          <w:b/>
          <w:sz w:val="26"/>
          <w:szCs w:val="26"/>
        </w:rPr>
        <w:t>„Cyberbezpieczny Samorząd”</w:t>
      </w:r>
    </w:p>
    <w:p w14:paraId="00000039" w14:textId="77777777" w:rsidR="0044605B" w:rsidRPr="00023F6E" w:rsidRDefault="0044605B">
      <w:pPr>
        <w:jc w:val="center"/>
        <w:rPr>
          <w:rFonts w:ascii="Calibri" w:eastAsia="Aptos" w:hAnsi="Calibri" w:cs="Calibri"/>
          <w:b/>
          <w:sz w:val="26"/>
          <w:szCs w:val="26"/>
        </w:rPr>
      </w:pPr>
    </w:p>
    <w:p w14:paraId="0000003A" w14:textId="77777777" w:rsidR="0044605B" w:rsidRPr="00023F6E" w:rsidRDefault="0044605B">
      <w:pPr>
        <w:jc w:val="center"/>
        <w:rPr>
          <w:rFonts w:ascii="Calibri" w:eastAsia="Aptos" w:hAnsi="Calibri" w:cs="Calibri"/>
          <w:b/>
          <w:sz w:val="26"/>
          <w:szCs w:val="26"/>
        </w:rPr>
      </w:pPr>
    </w:p>
    <w:p w14:paraId="0000003B" w14:textId="77777777" w:rsidR="0044605B" w:rsidRDefault="0044605B">
      <w:pPr>
        <w:jc w:val="center"/>
        <w:rPr>
          <w:rFonts w:ascii="Calibri" w:eastAsia="Aptos" w:hAnsi="Calibri" w:cs="Calibri"/>
          <w:b/>
          <w:sz w:val="26"/>
          <w:szCs w:val="26"/>
        </w:rPr>
      </w:pPr>
    </w:p>
    <w:p w14:paraId="3CDDC717" w14:textId="77777777" w:rsidR="00CE6F22" w:rsidRDefault="00CE6F22">
      <w:pPr>
        <w:jc w:val="center"/>
        <w:rPr>
          <w:rFonts w:ascii="Calibri" w:eastAsia="Aptos" w:hAnsi="Calibri" w:cs="Calibri"/>
          <w:b/>
          <w:sz w:val="26"/>
          <w:szCs w:val="26"/>
        </w:rPr>
      </w:pPr>
    </w:p>
    <w:p w14:paraId="45529D84" w14:textId="77777777" w:rsidR="00CE6F22" w:rsidRDefault="00CE6F22">
      <w:pPr>
        <w:jc w:val="center"/>
        <w:rPr>
          <w:rFonts w:ascii="Calibri" w:eastAsia="Aptos" w:hAnsi="Calibri" w:cs="Calibri"/>
          <w:b/>
          <w:sz w:val="26"/>
          <w:szCs w:val="26"/>
        </w:rPr>
      </w:pPr>
    </w:p>
    <w:p w14:paraId="5A8AC861" w14:textId="77777777" w:rsidR="00CE6F22" w:rsidRDefault="00CE6F22">
      <w:pPr>
        <w:jc w:val="center"/>
        <w:rPr>
          <w:rFonts w:ascii="Calibri" w:eastAsia="Aptos" w:hAnsi="Calibri" w:cs="Calibri"/>
          <w:b/>
          <w:sz w:val="26"/>
          <w:szCs w:val="26"/>
        </w:rPr>
      </w:pPr>
    </w:p>
    <w:p w14:paraId="4906336E" w14:textId="77777777" w:rsidR="00CE6F22" w:rsidRPr="00023F6E" w:rsidRDefault="00CE6F22">
      <w:pPr>
        <w:jc w:val="center"/>
        <w:rPr>
          <w:rFonts w:ascii="Calibri" w:eastAsia="Aptos" w:hAnsi="Calibri" w:cs="Calibri"/>
          <w:b/>
          <w:sz w:val="26"/>
          <w:szCs w:val="26"/>
        </w:rPr>
      </w:pPr>
    </w:p>
    <w:p w14:paraId="0000003C" w14:textId="77777777" w:rsidR="0044605B" w:rsidRPr="00023F6E" w:rsidRDefault="0044605B">
      <w:pPr>
        <w:jc w:val="center"/>
        <w:rPr>
          <w:rFonts w:ascii="Calibri" w:eastAsia="Aptos" w:hAnsi="Calibri" w:cs="Calibri"/>
          <w:b/>
          <w:sz w:val="26"/>
          <w:szCs w:val="26"/>
        </w:rPr>
      </w:pPr>
    </w:p>
    <w:p w14:paraId="0000003D" w14:textId="7060AD02" w:rsidR="0044605B" w:rsidRDefault="006D749C">
      <w:pPr>
        <w:jc w:val="center"/>
        <w:rPr>
          <w:rFonts w:ascii="Calibri" w:eastAsia="Aptos" w:hAnsi="Calibri" w:cs="Calibri"/>
        </w:rPr>
      </w:pPr>
      <w:r>
        <w:rPr>
          <w:rFonts w:ascii="Calibri" w:eastAsia="Aptos" w:hAnsi="Calibri" w:cs="Calibri"/>
        </w:rPr>
        <w:t>Umowa o powierzenie grantu o numerze:</w:t>
      </w:r>
      <w:r>
        <w:rPr>
          <w:rFonts w:ascii="Calibri" w:eastAsia="Aptos" w:hAnsi="Calibri" w:cs="Calibri"/>
        </w:rPr>
        <w:br/>
      </w:r>
    </w:p>
    <w:p w14:paraId="4D427FA8" w14:textId="77777777" w:rsidR="002E3642" w:rsidRPr="002E3642" w:rsidRDefault="002E3642" w:rsidP="002E3642">
      <w:pPr>
        <w:jc w:val="center"/>
        <w:rPr>
          <w:rFonts w:asciiTheme="minorHAnsi" w:eastAsia="Calibri" w:hAnsiTheme="minorHAnsi" w:cstheme="minorHAnsi"/>
          <w:bCs/>
          <w:lang w:val="en-US"/>
        </w:rPr>
      </w:pPr>
      <w:r>
        <w:rPr>
          <w:rFonts w:asciiTheme="minorHAnsi" w:eastAsia="Calibri" w:hAnsiTheme="minorHAnsi" w:cstheme="minorHAnsi"/>
          <w:bCs/>
          <w:lang w:val="en-US"/>
        </w:rPr>
        <w:t>FERC.02.02-CS.01-001/23/2328/ FERC.02.02-CS.01-001/23/2024</w:t>
      </w:r>
    </w:p>
    <w:p w14:paraId="1C5D95A4" w14:textId="77777777" w:rsidR="002E3642" w:rsidRPr="00CE6F22" w:rsidRDefault="002E3642">
      <w:pPr>
        <w:jc w:val="center"/>
        <w:rPr>
          <w:rFonts w:ascii="Calibri" w:eastAsia="Aptos" w:hAnsi="Calibri" w:cs="Calibri"/>
          <w:lang w:val="en-US"/>
        </w:rPr>
      </w:pPr>
    </w:p>
    <w:p w14:paraId="0000003E" w14:textId="77777777" w:rsidR="0044605B" w:rsidRPr="00CE6F22" w:rsidRDefault="0044605B">
      <w:pPr>
        <w:rPr>
          <w:rFonts w:ascii="Calibri" w:hAnsi="Calibri" w:cs="Calibri"/>
          <w:lang w:val="en-US"/>
        </w:rPr>
      </w:pPr>
    </w:p>
    <w:p w14:paraId="0000003F" w14:textId="77777777" w:rsidR="0044605B" w:rsidRPr="00CE6F22" w:rsidRDefault="0044605B">
      <w:pPr>
        <w:jc w:val="center"/>
        <w:rPr>
          <w:rFonts w:ascii="Calibri" w:hAnsi="Calibri" w:cs="Calibri"/>
          <w:lang w:val="en-US"/>
        </w:rPr>
      </w:pPr>
    </w:p>
    <w:p w14:paraId="00000040" w14:textId="77777777" w:rsidR="0044605B" w:rsidRPr="00CE6F22" w:rsidRDefault="0044605B">
      <w:pPr>
        <w:jc w:val="center"/>
        <w:rPr>
          <w:rFonts w:ascii="Calibri" w:hAnsi="Calibri" w:cs="Calibri"/>
          <w:lang w:val="en-US"/>
        </w:rPr>
      </w:pPr>
    </w:p>
    <w:p w14:paraId="00000041" w14:textId="77777777" w:rsidR="0044605B" w:rsidRPr="00CE6F22" w:rsidRDefault="0044605B">
      <w:pPr>
        <w:jc w:val="center"/>
        <w:rPr>
          <w:rFonts w:ascii="Calibri" w:hAnsi="Calibri" w:cs="Calibri"/>
          <w:lang w:val="en-US"/>
        </w:rPr>
      </w:pPr>
    </w:p>
    <w:p w14:paraId="00000042" w14:textId="77777777" w:rsidR="0044605B" w:rsidRPr="00CE6F22" w:rsidRDefault="0044605B">
      <w:pPr>
        <w:jc w:val="center"/>
        <w:rPr>
          <w:rFonts w:ascii="Calibri" w:hAnsi="Calibri" w:cs="Calibri"/>
          <w:lang w:val="en-US"/>
        </w:rPr>
      </w:pPr>
    </w:p>
    <w:p w14:paraId="00000043" w14:textId="77777777" w:rsidR="0044605B" w:rsidRPr="00CE6F22" w:rsidRDefault="0044605B">
      <w:pPr>
        <w:jc w:val="center"/>
        <w:rPr>
          <w:rFonts w:ascii="Calibri" w:hAnsi="Calibri" w:cs="Calibri"/>
          <w:lang w:val="en-US"/>
        </w:rPr>
      </w:pPr>
    </w:p>
    <w:p w14:paraId="3AA0731C" w14:textId="77777777" w:rsidR="00CE6F22" w:rsidRPr="00CE6F22" w:rsidRDefault="00CE6F22">
      <w:pPr>
        <w:jc w:val="center"/>
        <w:rPr>
          <w:rFonts w:ascii="Calibri" w:hAnsi="Calibri" w:cs="Calibri"/>
          <w:lang w:val="en-US"/>
        </w:rPr>
      </w:pPr>
    </w:p>
    <w:p w14:paraId="3F4D09C4" w14:textId="77777777" w:rsidR="00CE6F22" w:rsidRPr="00CE6F22" w:rsidRDefault="00CE6F22">
      <w:pPr>
        <w:jc w:val="center"/>
        <w:rPr>
          <w:rFonts w:ascii="Calibri" w:hAnsi="Calibri" w:cs="Calibri"/>
          <w:lang w:val="en-US"/>
        </w:rPr>
      </w:pPr>
    </w:p>
    <w:p w14:paraId="0778039F" w14:textId="77777777" w:rsidR="00CE6F22" w:rsidRPr="00CE6F22" w:rsidRDefault="00CE6F22">
      <w:pPr>
        <w:jc w:val="center"/>
        <w:rPr>
          <w:rFonts w:ascii="Calibri" w:hAnsi="Calibri" w:cs="Calibri"/>
          <w:lang w:val="en-US"/>
        </w:rPr>
      </w:pPr>
    </w:p>
    <w:p w14:paraId="0646B37F" w14:textId="77777777" w:rsidR="00CE6F22" w:rsidRPr="00CE6F22" w:rsidRDefault="00CE6F22" w:rsidP="009E6C8E">
      <w:pPr>
        <w:rPr>
          <w:rFonts w:ascii="Calibri" w:hAnsi="Calibri" w:cs="Calibri"/>
          <w:lang w:val="en-US"/>
        </w:rPr>
      </w:pPr>
    </w:p>
    <w:p w14:paraId="57BAD6D8" w14:textId="77777777" w:rsidR="00CE6F22" w:rsidRPr="00CE6F22" w:rsidRDefault="00CE6F22">
      <w:pPr>
        <w:jc w:val="center"/>
        <w:rPr>
          <w:rFonts w:ascii="Calibri" w:hAnsi="Calibri" w:cs="Calibri"/>
          <w:lang w:val="en-US"/>
        </w:rPr>
      </w:pPr>
    </w:p>
    <w:p w14:paraId="2EF8AA2E" w14:textId="77777777" w:rsidR="00CE6F22" w:rsidRPr="00CE6F22" w:rsidRDefault="00CE6F22">
      <w:pPr>
        <w:jc w:val="center"/>
        <w:rPr>
          <w:rFonts w:ascii="Calibri" w:hAnsi="Calibri" w:cs="Calibri"/>
          <w:lang w:val="en-US"/>
        </w:rPr>
      </w:pPr>
    </w:p>
    <w:p w14:paraId="29C90F59" w14:textId="77777777" w:rsidR="00CE6F22" w:rsidRPr="00CE6F22" w:rsidRDefault="00CE6F22">
      <w:pPr>
        <w:jc w:val="center"/>
        <w:rPr>
          <w:rFonts w:ascii="Calibri" w:hAnsi="Calibri" w:cs="Calibri"/>
          <w:lang w:val="en-US"/>
        </w:rPr>
      </w:pPr>
    </w:p>
    <w:p w14:paraId="4478F9BF" w14:textId="77777777" w:rsidR="00CE6F22" w:rsidRPr="00CE6F22" w:rsidRDefault="00CE6F22">
      <w:pPr>
        <w:jc w:val="center"/>
        <w:rPr>
          <w:rFonts w:ascii="Calibri" w:hAnsi="Calibri" w:cs="Calibri"/>
          <w:lang w:val="en-US"/>
        </w:rPr>
      </w:pPr>
    </w:p>
    <w:p w14:paraId="79F0041F" w14:textId="77777777" w:rsidR="00CE6F22" w:rsidRPr="00CE6F22" w:rsidRDefault="00CE6F22">
      <w:pPr>
        <w:jc w:val="center"/>
        <w:rPr>
          <w:rFonts w:ascii="Calibri" w:hAnsi="Calibri" w:cs="Calibri"/>
          <w:lang w:val="en-US"/>
        </w:rPr>
      </w:pPr>
    </w:p>
    <w:p w14:paraId="00000044" w14:textId="77777777" w:rsidR="0044605B" w:rsidRPr="00CE6F22" w:rsidRDefault="0044605B">
      <w:pPr>
        <w:jc w:val="center"/>
        <w:rPr>
          <w:rFonts w:ascii="Calibri" w:hAnsi="Calibri" w:cs="Calibri"/>
          <w:lang w:val="en-US"/>
        </w:rPr>
      </w:pPr>
    </w:p>
    <w:p w14:paraId="56D5FA79" w14:textId="534B5D80" w:rsidR="00FE23E4" w:rsidRDefault="00E23BD6" w:rsidP="009E6C8E">
      <w:pPr>
        <w:jc w:val="center"/>
        <w:rPr>
          <w:rFonts w:ascii="Calibri" w:hAnsi="Calibri" w:cs="Calibri"/>
          <w:lang w:val="en-US"/>
        </w:rPr>
      </w:pPr>
      <w:r>
        <w:rPr>
          <w:rFonts w:ascii="Calibri" w:hAnsi="Calibri" w:cs="Calibri"/>
          <w:lang w:val="en-US"/>
        </w:rPr>
        <w:t>Lipiec 2026</w:t>
      </w:r>
      <w:r>
        <w:rPr>
          <w:rFonts w:ascii="Calibri" w:hAnsi="Calibri" w:cs="Calibri"/>
          <w:lang w:val="en-US"/>
        </w:rPr>
        <w:br w:type="page"/>
      </w:r>
    </w:p>
    <w:sdt>
      <w:sdtPr>
        <w:rPr>
          <w:rFonts w:ascii="Calibri" w:hAnsi="Calibri" w:cs="Calibri"/>
          <w:sz w:val="24"/>
          <w:szCs w:val="24"/>
          <w:lang w:val="pl-PL"/>
        </w:rPr>
        <w:id w:val="-1376853985"/>
        <w:docPartObj>
          <w:docPartGallery w:val="Table of Contents"/>
          <w:docPartUnique/>
        </w:docPartObj>
      </w:sdtPr>
      <w:sdtEndPr>
        <w:rPr>
          <w:b/>
          <w:bCs/>
          <w:lang w:val="pl"/>
        </w:rPr>
      </w:sdtEndPr>
      <w:sdtContent>
        <w:p w14:paraId="1B128879" w14:textId="53008AB4" w:rsidR="00D579D6" w:rsidRPr="008E0FD8" w:rsidRDefault="00D579D6" w:rsidP="00FE23E4">
          <w:pPr>
            <w:pStyle w:val="Nagwekspisutreci"/>
            <w:rPr>
              <w:rFonts w:ascii="Calibri" w:hAnsi="Calibri" w:cs="Calibri"/>
            </w:rPr>
          </w:pPr>
          <w:r>
            <w:rPr>
              <w:rFonts w:ascii="Calibri" w:hAnsi="Calibri" w:cs="Calibri"/>
            </w:rPr>
            <w:t>Spis treści</w:t>
          </w:r>
        </w:p>
        <w:p w14:paraId="0E5408E7" w14:textId="0021FDEE" w:rsidR="00D829B1" w:rsidRDefault="00D579D6">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r>
            <w:rPr>
              <w:rFonts w:ascii="Calibri" w:hAnsi="Calibri" w:cs="Calibri"/>
            </w:rPr>
            <w:fldChar w:fldCharType="begin"/>
          </w:r>
          <w:r>
            <w:rPr>
              <w:rFonts w:ascii="Calibri" w:hAnsi="Calibri" w:cs="Calibri"/>
            </w:rPr>
            <w:instrText xml:space="preserve"> TOC \o "1-3" \h \z \u </w:instrText>
          </w:r>
          <w:r>
            <w:rPr>
              <w:rFonts w:ascii="Calibri" w:hAnsi="Calibri" w:cs="Calibri"/>
            </w:rPr>
            <w:fldChar w:fldCharType="separate"/>
          </w:r>
          <w:hyperlink w:anchor="_Toc229478305" w:history="1">
            <w:r>
              <w:rPr>
                <w:rStyle w:val="Hipercze"/>
                <w:rFonts w:eastAsiaTheme="majorEastAsia" w:cs="Calibri"/>
                <w:noProof/>
              </w:rPr>
              <w:t>1.</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Zakres zamówienia</w:t>
            </w:r>
            <w:r>
              <w:rPr>
                <w:noProof/>
                <w:webHidden/>
              </w:rPr>
              <w:tab/>
            </w:r>
            <w:r>
              <w:rPr>
                <w:noProof/>
                <w:webHidden/>
              </w:rPr>
              <w:fldChar w:fldCharType="begin"/>
            </w:r>
            <w:r>
              <w:rPr>
                <w:noProof/>
                <w:webHidden/>
              </w:rPr>
              <w:instrText xml:space="preserve"> PAGEREF _Toc229478305 \h </w:instrText>
            </w:r>
            <w:r>
              <w:rPr>
                <w:noProof/>
                <w:webHidden/>
              </w:rPr>
            </w:r>
            <w:r>
              <w:rPr>
                <w:noProof/>
                <w:webHidden/>
              </w:rPr>
              <w:fldChar w:fldCharType="separate"/>
            </w:r>
            <w:r>
              <w:rPr>
                <w:noProof/>
                <w:webHidden/>
              </w:rPr>
              <w:t>3</w:t>
            </w:r>
            <w:r>
              <w:rPr>
                <w:noProof/>
                <w:webHidden/>
              </w:rPr>
              <w:fldChar w:fldCharType="end"/>
            </w:r>
          </w:hyperlink>
        </w:p>
        <w:p w14:paraId="48E64F1F" w14:textId="1D6B497C"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06" w:history="1">
            <w:r>
              <w:rPr>
                <w:rStyle w:val="Hipercze"/>
                <w:rFonts w:eastAsiaTheme="majorEastAsia" w:cs="Calibri"/>
                <w:noProof/>
              </w:rPr>
              <w:t>2.</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Dostawa i instalacja serwera – 1 szt.</w:t>
            </w:r>
            <w:r>
              <w:rPr>
                <w:noProof/>
                <w:webHidden/>
              </w:rPr>
              <w:tab/>
            </w:r>
            <w:r>
              <w:rPr>
                <w:noProof/>
                <w:webHidden/>
              </w:rPr>
              <w:fldChar w:fldCharType="begin"/>
            </w:r>
            <w:r>
              <w:rPr>
                <w:noProof/>
                <w:webHidden/>
              </w:rPr>
              <w:instrText xml:space="preserve"> PAGEREF _Toc229478306 \h </w:instrText>
            </w:r>
            <w:r>
              <w:rPr>
                <w:noProof/>
                <w:webHidden/>
              </w:rPr>
            </w:r>
            <w:r>
              <w:rPr>
                <w:noProof/>
                <w:webHidden/>
              </w:rPr>
              <w:fldChar w:fldCharType="separate"/>
            </w:r>
            <w:r>
              <w:rPr>
                <w:noProof/>
                <w:webHidden/>
              </w:rPr>
              <w:t>4</w:t>
            </w:r>
            <w:r>
              <w:rPr>
                <w:noProof/>
                <w:webHidden/>
              </w:rPr>
              <w:fldChar w:fldCharType="end"/>
            </w:r>
          </w:hyperlink>
        </w:p>
        <w:p w14:paraId="467643DC" w14:textId="6417E842"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07" w:history="1">
            <w:r>
              <w:rPr>
                <w:rStyle w:val="Hipercze"/>
                <w:rFonts w:eastAsiaTheme="majorEastAsia" w:cs="Calibri"/>
                <w:noProof/>
              </w:rPr>
              <w:t>3.</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Dostawa i instalacja macierzy dyskowej NAS – 1 szt.</w:t>
            </w:r>
            <w:r>
              <w:rPr>
                <w:noProof/>
                <w:webHidden/>
              </w:rPr>
              <w:tab/>
            </w:r>
            <w:r>
              <w:rPr>
                <w:noProof/>
                <w:webHidden/>
              </w:rPr>
              <w:fldChar w:fldCharType="begin"/>
            </w:r>
            <w:r>
              <w:rPr>
                <w:noProof/>
                <w:webHidden/>
              </w:rPr>
              <w:instrText xml:space="preserve"> PAGEREF _Toc229478307 \h </w:instrText>
            </w:r>
            <w:r>
              <w:rPr>
                <w:noProof/>
                <w:webHidden/>
              </w:rPr>
            </w:r>
            <w:r>
              <w:rPr>
                <w:noProof/>
                <w:webHidden/>
              </w:rPr>
              <w:fldChar w:fldCharType="separate"/>
            </w:r>
            <w:r>
              <w:rPr>
                <w:noProof/>
                <w:webHidden/>
              </w:rPr>
              <w:t>7</w:t>
            </w:r>
            <w:r>
              <w:rPr>
                <w:noProof/>
                <w:webHidden/>
              </w:rPr>
              <w:fldChar w:fldCharType="end"/>
            </w:r>
          </w:hyperlink>
        </w:p>
        <w:p w14:paraId="42162278" w14:textId="28D76599"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08" w:history="1">
            <w:r>
              <w:rPr>
                <w:rStyle w:val="Hipercze"/>
                <w:rFonts w:eastAsiaTheme="majorEastAsia" w:cs="Calibri"/>
                <w:noProof/>
              </w:rPr>
              <w:t>4.</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Dostawa wraz z wdrożeniem systemu tworzenia i zarządzania kopiami zapasowymi – 1 szt.</w:t>
            </w:r>
            <w:r>
              <w:rPr>
                <w:noProof/>
                <w:webHidden/>
              </w:rPr>
              <w:tab/>
            </w:r>
            <w:r>
              <w:rPr>
                <w:noProof/>
                <w:webHidden/>
              </w:rPr>
              <w:fldChar w:fldCharType="begin"/>
            </w:r>
            <w:r>
              <w:rPr>
                <w:noProof/>
                <w:webHidden/>
              </w:rPr>
              <w:instrText xml:space="preserve"> PAGEREF _Toc229478308 \h </w:instrText>
            </w:r>
            <w:r>
              <w:rPr>
                <w:noProof/>
                <w:webHidden/>
              </w:rPr>
            </w:r>
            <w:r>
              <w:rPr>
                <w:noProof/>
                <w:webHidden/>
              </w:rPr>
              <w:fldChar w:fldCharType="separate"/>
            </w:r>
            <w:r>
              <w:rPr>
                <w:noProof/>
                <w:webHidden/>
              </w:rPr>
              <w:t>10</w:t>
            </w:r>
            <w:r>
              <w:rPr>
                <w:noProof/>
                <w:webHidden/>
              </w:rPr>
              <w:fldChar w:fldCharType="end"/>
            </w:r>
          </w:hyperlink>
        </w:p>
        <w:p w14:paraId="66351D60" w14:textId="359DF834"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09" w:history="1">
            <w:r>
              <w:rPr>
                <w:rStyle w:val="Hipercze"/>
                <w:rFonts w:eastAsiaTheme="majorEastAsia" w:cs="Calibri"/>
                <w:noProof/>
              </w:rPr>
              <w:t>5.</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Zakup wraz z instalacją i konfiguracją przełączników sieciowych</w:t>
            </w:r>
            <w:r>
              <w:rPr>
                <w:noProof/>
                <w:webHidden/>
              </w:rPr>
              <w:tab/>
            </w:r>
            <w:r>
              <w:rPr>
                <w:noProof/>
                <w:webHidden/>
              </w:rPr>
              <w:fldChar w:fldCharType="begin"/>
            </w:r>
            <w:r>
              <w:rPr>
                <w:noProof/>
                <w:webHidden/>
              </w:rPr>
              <w:instrText xml:space="preserve"> PAGEREF _Toc229478309 \h </w:instrText>
            </w:r>
            <w:r>
              <w:rPr>
                <w:noProof/>
                <w:webHidden/>
              </w:rPr>
            </w:r>
            <w:r>
              <w:rPr>
                <w:noProof/>
                <w:webHidden/>
              </w:rPr>
              <w:fldChar w:fldCharType="separate"/>
            </w:r>
            <w:r>
              <w:rPr>
                <w:noProof/>
                <w:webHidden/>
              </w:rPr>
              <w:t>11</w:t>
            </w:r>
            <w:r>
              <w:rPr>
                <w:noProof/>
                <w:webHidden/>
              </w:rPr>
              <w:fldChar w:fldCharType="end"/>
            </w:r>
          </w:hyperlink>
        </w:p>
        <w:p w14:paraId="1EB4C62A" w14:textId="430924A4" w:rsidR="00D829B1" w:rsidRDefault="00D829B1">
          <w:pPr>
            <w:pStyle w:val="Spistreci2"/>
            <w:tabs>
              <w:tab w:val="left" w:pos="960"/>
              <w:tab w:val="right" w:leader="dot" w:pos="9016"/>
            </w:tabs>
            <w:rPr>
              <w:rFonts w:asciiTheme="minorHAnsi" w:eastAsiaTheme="minorEastAsia" w:hAnsiTheme="minorHAnsi" w:cstheme="minorBidi"/>
              <w:noProof/>
              <w:kern w:val="2"/>
              <w:lang w:val="pl-PL"/>
              <w14:ligatures w14:val="standardContextual"/>
            </w:rPr>
          </w:pPr>
          <w:hyperlink w:anchor="_Toc229478310" w:history="1">
            <w:r>
              <w:rPr>
                <w:rStyle w:val="Hipercze"/>
                <w:rFonts w:eastAsiaTheme="majorEastAsia" w:cs="Calibri"/>
                <w:noProof/>
              </w:rPr>
              <w:t>5.1.</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Przełącznik sieciowy – typ 1 – 1 szt.</w:t>
            </w:r>
            <w:r>
              <w:rPr>
                <w:noProof/>
                <w:webHidden/>
              </w:rPr>
              <w:tab/>
            </w:r>
            <w:r>
              <w:rPr>
                <w:noProof/>
                <w:webHidden/>
              </w:rPr>
              <w:fldChar w:fldCharType="begin"/>
            </w:r>
            <w:r>
              <w:rPr>
                <w:noProof/>
                <w:webHidden/>
              </w:rPr>
              <w:instrText xml:space="preserve"> PAGEREF _Toc229478310 \h </w:instrText>
            </w:r>
            <w:r>
              <w:rPr>
                <w:noProof/>
                <w:webHidden/>
              </w:rPr>
            </w:r>
            <w:r>
              <w:rPr>
                <w:noProof/>
                <w:webHidden/>
              </w:rPr>
              <w:fldChar w:fldCharType="separate"/>
            </w:r>
            <w:r>
              <w:rPr>
                <w:noProof/>
                <w:webHidden/>
              </w:rPr>
              <w:t>11</w:t>
            </w:r>
            <w:r>
              <w:rPr>
                <w:noProof/>
                <w:webHidden/>
              </w:rPr>
              <w:fldChar w:fldCharType="end"/>
            </w:r>
          </w:hyperlink>
        </w:p>
        <w:p w14:paraId="18230E61" w14:textId="42C481A1" w:rsidR="00D829B1" w:rsidRDefault="00D829B1">
          <w:pPr>
            <w:pStyle w:val="Spistreci2"/>
            <w:tabs>
              <w:tab w:val="left" w:pos="960"/>
              <w:tab w:val="right" w:leader="dot" w:pos="9016"/>
            </w:tabs>
            <w:rPr>
              <w:rFonts w:asciiTheme="minorHAnsi" w:eastAsiaTheme="minorEastAsia" w:hAnsiTheme="minorHAnsi" w:cstheme="minorBidi"/>
              <w:noProof/>
              <w:kern w:val="2"/>
              <w:lang w:val="pl-PL"/>
              <w14:ligatures w14:val="standardContextual"/>
            </w:rPr>
          </w:pPr>
          <w:hyperlink w:anchor="_Toc229478311" w:history="1">
            <w:r>
              <w:rPr>
                <w:rStyle w:val="Hipercze"/>
                <w:rFonts w:eastAsiaTheme="majorEastAsia" w:cs="Calibri"/>
                <w:noProof/>
              </w:rPr>
              <w:t>5.2.</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Przełącznik sieciowy – typ 2 – 1 szt.</w:t>
            </w:r>
            <w:r>
              <w:rPr>
                <w:noProof/>
                <w:webHidden/>
              </w:rPr>
              <w:tab/>
            </w:r>
            <w:r>
              <w:rPr>
                <w:noProof/>
                <w:webHidden/>
              </w:rPr>
              <w:fldChar w:fldCharType="begin"/>
            </w:r>
            <w:r>
              <w:rPr>
                <w:noProof/>
                <w:webHidden/>
              </w:rPr>
              <w:instrText xml:space="preserve"> PAGEREF _Toc229478311 \h </w:instrText>
            </w:r>
            <w:r>
              <w:rPr>
                <w:noProof/>
                <w:webHidden/>
              </w:rPr>
            </w:r>
            <w:r>
              <w:rPr>
                <w:noProof/>
                <w:webHidden/>
              </w:rPr>
              <w:fldChar w:fldCharType="separate"/>
            </w:r>
            <w:r>
              <w:rPr>
                <w:noProof/>
                <w:webHidden/>
              </w:rPr>
              <w:t>14</w:t>
            </w:r>
            <w:r>
              <w:rPr>
                <w:noProof/>
                <w:webHidden/>
              </w:rPr>
              <w:fldChar w:fldCharType="end"/>
            </w:r>
          </w:hyperlink>
        </w:p>
        <w:p w14:paraId="13EB5FE8" w14:textId="3546EAE0" w:rsidR="00D829B1" w:rsidRDefault="00D829B1">
          <w:pPr>
            <w:pStyle w:val="Spistreci2"/>
            <w:tabs>
              <w:tab w:val="left" w:pos="960"/>
              <w:tab w:val="right" w:leader="dot" w:pos="9016"/>
            </w:tabs>
            <w:rPr>
              <w:rFonts w:asciiTheme="minorHAnsi" w:eastAsiaTheme="minorEastAsia" w:hAnsiTheme="minorHAnsi" w:cstheme="minorBidi"/>
              <w:noProof/>
              <w:kern w:val="2"/>
              <w:lang w:val="pl-PL"/>
              <w14:ligatures w14:val="standardContextual"/>
            </w:rPr>
          </w:pPr>
          <w:hyperlink w:anchor="_Toc229478312" w:history="1">
            <w:r>
              <w:rPr>
                <w:rStyle w:val="Hipercze"/>
                <w:rFonts w:eastAsiaTheme="majorEastAsia" w:cs="Calibri"/>
                <w:noProof/>
              </w:rPr>
              <w:t>5.3.</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Przełącznik sieciowy – typ 3 – 2 szt.</w:t>
            </w:r>
            <w:r>
              <w:rPr>
                <w:noProof/>
                <w:webHidden/>
              </w:rPr>
              <w:tab/>
            </w:r>
            <w:r>
              <w:rPr>
                <w:noProof/>
                <w:webHidden/>
              </w:rPr>
              <w:fldChar w:fldCharType="begin"/>
            </w:r>
            <w:r>
              <w:rPr>
                <w:noProof/>
                <w:webHidden/>
              </w:rPr>
              <w:instrText xml:space="preserve"> PAGEREF _Toc229478312 \h </w:instrText>
            </w:r>
            <w:r>
              <w:rPr>
                <w:noProof/>
                <w:webHidden/>
              </w:rPr>
            </w:r>
            <w:r>
              <w:rPr>
                <w:noProof/>
                <w:webHidden/>
              </w:rPr>
              <w:fldChar w:fldCharType="separate"/>
            </w:r>
            <w:r>
              <w:rPr>
                <w:noProof/>
                <w:webHidden/>
              </w:rPr>
              <w:t>16</w:t>
            </w:r>
            <w:r>
              <w:rPr>
                <w:noProof/>
                <w:webHidden/>
              </w:rPr>
              <w:fldChar w:fldCharType="end"/>
            </w:r>
          </w:hyperlink>
        </w:p>
        <w:p w14:paraId="47CAF164" w14:textId="2312F65D" w:rsidR="00D829B1" w:rsidRDefault="00D829B1">
          <w:pPr>
            <w:pStyle w:val="Spistreci2"/>
            <w:tabs>
              <w:tab w:val="left" w:pos="960"/>
              <w:tab w:val="right" w:leader="dot" w:pos="9016"/>
            </w:tabs>
            <w:rPr>
              <w:rFonts w:asciiTheme="minorHAnsi" w:eastAsiaTheme="minorEastAsia" w:hAnsiTheme="minorHAnsi" w:cstheme="minorBidi"/>
              <w:noProof/>
              <w:kern w:val="2"/>
              <w:lang w:val="pl-PL"/>
              <w14:ligatures w14:val="standardContextual"/>
            </w:rPr>
          </w:pPr>
          <w:hyperlink w:anchor="_Toc229478313" w:history="1">
            <w:r>
              <w:rPr>
                <w:rStyle w:val="Hipercze"/>
                <w:rFonts w:eastAsiaTheme="majorEastAsia" w:cs="Calibri"/>
                <w:noProof/>
              </w:rPr>
              <w:t>5.4.</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Instalacja i konfiguracja przełączników, wdrożenie segmentacji VLAN</w:t>
            </w:r>
            <w:r>
              <w:rPr>
                <w:noProof/>
                <w:webHidden/>
              </w:rPr>
              <w:tab/>
            </w:r>
            <w:r>
              <w:rPr>
                <w:noProof/>
                <w:webHidden/>
              </w:rPr>
              <w:fldChar w:fldCharType="begin"/>
            </w:r>
            <w:r>
              <w:rPr>
                <w:noProof/>
                <w:webHidden/>
              </w:rPr>
              <w:instrText xml:space="preserve"> PAGEREF _Toc229478313 \h </w:instrText>
            </w:r>
            <w:r>
              <w:rPr>
                <w:noProof/>
                <w:webHidden/>
              </w:rPr>
            </w:r>
            <w:r>
              <w:rPr>
                <w:noProof/>
                <w:webHidden/>
              </w:rPr>
              <w:fldChar w:fldCharType="separate"/>
            </w:r>
            <w:r>
              <w:rPr>
                <w:noProof/>
                <w:webHidden/>
              </w:rPr>
              <w:t>18</w:t>
            </w:r>
            <w:r>
              <w:rPr>
                <w:noProof/>
                <w:webHidden/>
              </w:rPr>
              <w:fldChar w:fldCharType="end"/>
            </w:r>
          </w:hyperlink>
        </w:p>
        <w:p w14:paraId="4F9B6650" w14:textId="7D9F202D"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14" w:history="1">
            <w:r>
              <w:rPr>
                <w:rStyle w:val="Hipercze"/>
                <w:rFonts w:eastAsiaTheme="majorEastAsia" w:cs="Calibri"/>
                <w:noProof/>
              </w:rPr>
              <w:t>6.</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Punkty dostępowe – 4 szt.</w:t>
            </w:r>
            <w:r>
              <w:rPr>
                <w:noProof/>
                <w:webHidden/>
              </w:rPr>
              <w:tab/>
            </w:r>
            <w:r>
              <w:rPr>
                <w:noProof/>
                <w:webHidden/>
              </w:rPr>
              <w:fldChar w:fldCharType="begin"/>
            </w:r>
            <w:r>
              <w:rPr>
                <w:noProof/>
                <w:webHidden/>
              </w:rPr>
              <w:instrText xml:space="preserve"> PAGEREF _Toc229478314 \h </w:instrText>
            </w:r>
            <w:r>
              <w:rPr>
                <w:noProof/>
                <w:webHidden/>
              </w:rPr>
            </w:r>
            <w:r>
              <w:rPr>
                <w:noProof/>
                <w:webHidden/>
              </w:rPr>
              <w:fldChar w:fldCharType="separate"/>
            </w:r>
            <w:r>
              <w:rPr>
                <w:noProof/>
                <w:webHidden/>
              </w:rPr>
              <w:t>19</w:t>
            </w:r>
            <w:r>
              <w:rPr>
                <w:noProof/>
                <w:webHidden/>
              </w:rPr>
              <w:fldChar w:fldCharType="end"/>
            </w:r>
          </w:hyperlink>
        </w:p>
        <w:p w14:paraId="17B0F4DD" w14:textId="5E28C0EA"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15" w:history="1">
            <w:r>
              <w:rPr>
                <w:rStyle w:val="Hipercze"/>
                <w:rFonts w:eastAsiaTheme="majorEastAsia" w:cs="Calibri"/>
                <w:noProof/>
              </w:rPr>
              <w:t>7.</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Urządzenia</w:t>
            </w:r>
            <w:r>
              <w:rPr>
                <w:rStyle w:val="Hipercze"/>
                <w:rFonts w:eastAsiaTheme="majorEastAsia" w:cs="Calibri"/>
                <w:b/>
                <w:noProof/>
              </w:rPr>
              <w:t xml:space="preserve"> </w:t>
            </w:r>
            <w:r>
              <w:rPr>
                <w:rStyle w:val="Hipercze"/>
                <w:rFonts w:eastAsiaTheme="majorEastAsia" w:cs="Calibri"/>
                <w:noProof/>
              </w:rPr>
              <w:t>ochrony brzegu sieci (UTM) – 1 szt.</w:t>
            </w:r>
            <w:r>
              <w:rPr>
                <w:noProof/>
                <w:webHidden/>
              </w:rPr>
              <w:tab/>
            </w:r>
            <w:r>
              <w:rPr>
                <w:noProof/>
                <w:webHidden/>
              </w:rPr>
              <w:fldChar w:fldCharType="begin"/>
            </w:r>
            <w:r>
              <w:rPr>
                <w:noProof/>
                <w:webHidden/>
              </w:rPr>
              <w:instrText xml:space="preserve"> PAGEREF _Toc229478315 \h </w:instrText>
            </w:r>
            <w:r>
              <w:rPr>
                <w:noProof/>
                <w:webHidden/>
              </w:rPr>
            </w:r>
            <w:r>
              <w:rPr>
                <w:noProof/>
                <w:webHidden/>
              </w:rPr>
              <w:fldChar w:fldCharType="separate"/>
            </w:r>
            <w:r>
              <w:rPr>
                <w:noProof/>
                <w:webHidden/>
              </w:rPr>
              <w:t>20</w:t>
            </w:r>
            <w:r>
              <w:rPr>
                <w:noProof/>
                <w:webHidden/>
              </w:rPr>
              <w:fldChar w:fldCharType="end"/>
            </w:r>
          </w:hyperlink>
        </w:p>
        <w:p w14:paraId="7AAE880A" w14:textId="5D26EBF5" w:rsidR="00D829B1" w:rsidRDefault="00D829B1">
          <w:pPr>
            <w:pStyle w:val="Spistreci2"/>
            <w:tabs>
              <w:tab w:val="left" w:pos="720"/>
              <w:tab w:val="right" w:leader="dot" w:pos="9016"/>
            </w:tabs>
            <w:rPr>
              <w:rFonts w:asciiTheme="minorHAnsi" w:eastAsiaTheme="minorEastAsia" w:hAnsiTheme="minorHAnsi" w:cstheme="minorBidi"/>
              <w:noProof/>
              <w:kern w:val="2"/>
              <w:lang w:val="pl-PL"/>
              <w14:ligatures w14:val="standardContextual"/>
            </w:rPr>
          </w:pPr>
          <w:hyperlink w:anchor="_Toc229478316" w:history="1">
            <w:r>
              <w:rPr>
                <w:rStyle w:val="Hipercze"/>
                <w:rFonts w:eastAsiaTheme="majorEastAsia" w:cs="Calibri"/>
                <w:noProof/>
              </w:rPr>
              <w:t>8.</w:t>
            </w:r>
            <w:r>
              <w:rPr>
                <w:rFonts w:asciiTheme="minorHAnsi" w:eastAsiaTheme="minorEastAsia" w:hAnsiTheme="minorHAnsi" w:cstheme="minorBidi"/>
                <w:noProof/>
                <w:kern w:val="2"/>
                <w:lang w:val="pl-PL"/>
                <w14:ligatures w14:val="standardContextual"/>
              </w:rPr>
              <w:tab/>
            </w:r>
            <w:r>
              <w:rPr>
                <w:rStyle w:val="Hipercze"/>
                <w:rFonts w:eastAsiaTheme="majorEastAsia" w:cs="Calibri"/>
                <w:noProof/>
              </w:rPr>
              <w:t>Urządzenie typu UPS – 1 szt.</w:t>
            </w:r>
            <w:r>
              <w:rPr>
                <w:noProof/>
                <w:webHidden/>
              </w:rPr>
              <w:tab/>
            </w:r>
            <w:r>
              <w:rPr>
                <w:noProof/>
                <w:webHidden/>
              </w:rPr>
              <w:fldChar w:fldCharType="begin"/>
            </w:r>
            <w:r>
              <w:rPr>
                <w:noProof/>
                <w:webHidden/>
              </w:rPr>
              <w:instrText xml:space="preserve"> PAGEREF _Toc229478316 \h </w:instrText>
            </w:r>
            <w:r>
              <w:rPr>
                <w:noProof/>
                <w:webHidden/>
              </w:rPr>
            </w:r>
            <w:r>
              <w:rPr>
                <w:noProof/>
                <w:webHidden/>
              </w:rPr>
              <w:fldChar w:fldCharType="separate"/>
            </w:r>
            <w:r>
              <w:rPr>
                <w:noProof/>
                <w:webHidden/>
              </w:rPr>
              <w:t>29</w:t>
            </w:r>
            <w:r>
              <w:rPr>
                <w:noProof/>
                <w:webHidden/>
              </w:rPr>
              <w:fldChar w:fldCharType="end"/>
            </w:r>
          </w:hyperlink>
        </w:p>
        <w:p w14:paraId="310A5CE7" w14:textId="14A5EBF6" w:rsidR="00D579D6" w:rsidRPr="00A75971" w:rsidRDefault="00D579D6">
          <w:pPr>
            <w:rPr>
              <w:rFonts w:ascii="Calibri" w:hAnsi="Calibri" w:cs="Calibri"/>
            </w:rPr>
          </w:pPr>
          <w:r>
            <w:rPr>
              <w:rFonts w:ascii="Calibri" w:hAnsi="Calibri" w:cs="Calibri"/>
              <w:b/>
              <w:bCs/>
            </w:rPr>
            <w:fldChar w:fldCharType="end"/>
          </w:r>
        </w:p>
      </w:sdtContent>
    </w:sdt>
    <w:p w14:paraId="0000005D" w14:textId="77777777" w:rsidR="0044605B" w:rsidRPr="00A75971" w:rsidRDefault="0044605B">
      <w:pPr>
        <w:rPr>
          <w:rFonts w:ascii="Calibri" w:hAnsi="Calibri" w:cs="Calibri"/>
        </w:rPr>
      </w:pPr>
    </w:p>
    <w:p w14:paraId="0000005E" w14:textId="77777777" w:rsidR="0044605B" w:rsidRPr="00A75971" w:rsidRDefault="006D749C">
      <w:pPr>
        <w:rPr>
          <w:rFonts w:ascii="Calibri" w:hAnsi="Calibri" w:cs="Calibri"/>
        </w:rPr>
      </w:pPr>
      <w:r>
        <w:rPr>
          <w:rFonts w:ascii="Calibri" w:hAnsi="Calibri" w:cs="Calibri"/>
        </w:rPr>
        <w:br w:type="page"/>
      </w:r>
    </w:p>
    <w:p w14:paraId="0000005F" w14:textId="77777777" w:rsidR="0044605B" w:rsidRPr="00D579D6" w:rsidRDefault="006D749C" w:rsidP="00D579D6">
      <w:pPr>
        <w:pStyle w:val="Nagwek2"/>
        <w:numPr>
          <w:ilvl w:val="0"/>
          <w:numId w:val="1"/>
        </w:numPr>
        <w:rPr>
          <w:rFonts w:cs="Calibri"/>
        </w:rPr>
      </w:pPr>
      <w:bookmarkStart w:id="2" w:name="_Toc229478305"/>
      <w:r>
        <w:rPr>
          <w:rFonts w:cs="Calibri"/>
        </w:rPr>
        <w:lastRenderedPageBreak/>
        <w:t>Zakres zamówienia</w:t>
      </w:r>
      <w:bookmarkEnd w:id="2"/>
    </w:p>
    <w:p w14:paraId="00000060" w14:textId="77777777" w:rsidR="0044605B" w:rsidRPr="008E0FD8" w:rsidRDefault="006D749C">
      <w:pPr>
        <w:rPr>
          <w:rFonts w:ascii="Calibri" w:hAnsi="Calibri" w:cs="Calibri"/>
        </w:rPr>
      </w:pPr>
      <w:r>
        <w:rPr>
          <w:rFonts w:ascii="Calibri" w:hAnsi="Calibri" w:cs="Calibri"/>
        </w:rPr>
        <w:t>Przedmiotem zamówienia są następujące zadania:</w:t>
      </w:r>
    </w:p>
    <w:p w14:paraId="2B49A7AE" w14:textId="09362FE6" w:rsidR="00581C71" w:rsidRDefault="00581C71">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Dostawa i instalacja serwera – 1 szt.</w:t>
      </w:r>
    </w:p>
    <w:p w14:paraId="6B9F5CD9" w14:textId="774EF63E"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Dostawa i instalacja macierzy dyskowej NAS – 1 szt.</w:t>
      </w:r>
    </w:p>
    <w:p w14:paraId="5BB9E38C" w14:textId="79ACB1BA"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Dostawa wraz z wdrożeniem systemu tworzenia i zarządzania kopiami zapasowymi – 1 szt.</w:t>
      </w:r>
    </w:p>
    <w:p w14:paraId="055B4F4D" w14:textId="5358E196"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Zakup wraz z instalacją i konfiguracją przełączników sieciowych</w:t>
      </w:r>
      <w:r>
        <w:rPr>
          <w:rFonts w:ascii="Calibri" w:hAnsi="Calibri" w:cs="Calibri"/>
          <w:lang w:val="pl-PL"/>
        </w:rPr>
        <w:br/>
        <w:t>3.1. Przełącznik sieciowy – typ 1 – 1 szt.</w:t>
      </w:r>
      <w:r>
        <w:rPr>
          <w:rFonts w:ascii="Calibri" w:hAnsi="Calibri" w:cs="Calibri"/>
          <w:lang w:val="pl-PL"/>
        </w:rPr>
        <w:br/>
        <w:t>3.2. Przełącznik sieciowy – typ 2 – 1 szt.</w:t>
      </w:r>
      <w:r>
        <w:rPr>
          <w:rFonts w:ascii="Calibri" w:hAnsi="Calibri" w:cs="Calibri"/>
          <w:lang w:val="pl-PL"/>
        </w:rPr>
        <w:br/>
        <w:t>3.3. Przełącznik sieciowy – typ 3 – 2 szt.</w:t>
      </w:r>
      <w:r>
        <w:rPr>
          <w:rFonts w:ascii="Calibri" w:hAnsi="Calibri" w:cs="Calibri"/>
          <w:lang w:val="pl-PL"/>
        </w:rPr>
        <w:br/>
        <w:t>3.4. Instalacja i konfiguracja przełączników, wdrożenie segmentacji VLAN</w:t>
      </w:r>
    </w:p>
    <w:p w14:paraId="1AFDDD7E" w14:textId="4F9ECB55"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Punkty dostępowe – 4 szt.</w:t>
      </w:r>
    </w:p>
    <w:p w14:paraId="1826FE2C" w14:textId="6CC48F5E"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Urządzenia ochrony brzegu sieci (UTM) -  1 szt.</w:t>
      </w:r>
    </w:p>
    <w:p w14:paraId="2AF197D5" w14:textId="1A517730" w:rsidR="008E0FD8" w:rsidRPr="008E0FD8" w:rsidRDefault="008E0FD8">
      <w:pPr>
        <w:pStyle w:val="Akapitzlist"/>
        <w:numPr>
          <w:ilvl w:val="0"/>
          <w:numId w:val="5"/>
        </w:numPr>
        <w:spacing w:before="100" w:beforeAutospacing="1" w:after="100" w:afterAutospacing="1"/>
        <w:rPr>
          <w:rFonts w:ascii="Calibri" w:hAnsi="Calibri" w:cs="Calibri"/>
          <w:lang w:val="pl-PL"/>
        </w:rPr>
      </w:pPr>
      <w:r>
        <w:rPr>
          <w:rFonts w:ascii="Calibri" w:hAnsi="Calibri" w:cs="Calibri"/>
          <w:lang w:val="pl-PL"/>
        </w:rPr>
        <w:t>Urządzenie typu UPS – 1 szt.</w:t>
      </w:r>
    </w:p>
    <w:p w14:paraId="0000006F" w14:textId="77777777" w:rsidR="0044605B" w:rsidRPr="00023F6E" w:rsidRDefault="0044605B">
      <w:pPr>
        <w:rPr>
          <w:rFonts w:ascii="Calibri" w:eastAsia="Play" w:hAnsi="Calibri" w:cs="Calibri"/>
          <w:color w:val="0F4761"/>
          <w:sz w:val="32"/>
          <w:szCs w:val="32"/>
        </w:rPr>
      </w:pPr>
    </w:p>
    <w:p w14:paraId="00000070" w14:textId="77777777" w:rsidR="0044605B" w:rsidRPr="00023F6E" w:rsidRDefault="006D749C">
      <w:pPr>
        <w:rPr>
          <w:rFonts w:ascii="Calibri" w:eastAsia="Play" w:hAnsi="Calibri" w:cs="Calibri"/>
          <w:color w:val="0F4761"/>
          <w:sz w:val="32"/>
          <w:szCs w:val="32"/>
        </w:rPr>
      </w:pPr>
      <w:r>
        <w:rPr>
          <w:rFonts w:ascii="Calibri" w:hAnsi="Calibri" w:cs="Calibri"/>
        </w:rPr>
        <w:br w:type="page"/>
      </w:r>
    </w:p>
    <w:p w14:paraId="00000071" w14:textId="2D0FF325" w:rsidR="0044605B" w:rsidRDefault="006D749C">
      <w:pPr>
        <w:pStyle w:val="Nagwek2"/>
        <w:numPr>
          <w:ilvl w:val="0"/>
          <w:numId w:val="1"/>
        </w:numPr>
        <w:rPr>
          <w:rFonts w:cs="Calibri"/>
        </w:rPr>
      </w:pPr>
      <w:bookmarkStart w:id="3" w:name="_Toc229478306"/>
      <w:r>
        <w:rPr>
          <w:rFonts w:cs="Calibri"/>
        </w:rPr>
        <w:lastRenderedPageBreak/>
        <w:t>Dostawa i instalacja serwera – 1 szt.</w:t>
      </w:r>
      <w:bookmarkEnd w:id="3"/>
    </w:p>
    <w:p w14:paraId="695F397E" w14:textId="77777777" w:rsidR="00EA06AD" w:rsidRPr="00EA06AD" w:rsidRDefault="00EA06AD" w:rsidP="00EA06AD">
      <w:pPr>
        <w:rPr>
          <w:lang w:val="pl-PL"/>
        </w:rPr>
      </w:pPr>
    </w:p>
    <w:tbl>
      <w:tblPr>
        <w:tblW w:w="9937" w:type="dxa"/>
        <w:tblInd w:w="-289" w:type="dxa"/>
        <w:tblLook w:val="01E0" w:firstRow="1" w:lastRow="1" w:firstColumn="1" w:lastColumn="1" w:noHBand="0" w:noVBand="0"/>
      </w:tblPr>
      <w:tblGrid>
        <w:gridCol w:w="2827"/>
        <w:gridCol w:w="7110"/>
      </w:tblGrid>
      <w:tr w:rsidR="00A75971" w:rsidRPr="00BE0B48" w14:paraId="21A061B5" w14:textId="77777777" w:rsidTr="0018644F">
        <w:tc>
          <w:tcPr>
            <w:tcW w:w="2827"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1CB26D3" w14:textId="77777777" w:rsidR="00A75971" w:rsidRPr="000D0DFF" w:rsidRDefault="00A75971" w:rsidP="0018644F">
            <w:pPr>
              <w:autoSpaceDE w:val="0"/>
              <w:autoSpaceDN w:val="0"/>
              <w:adjustRightInd w:val="0"/>
              <w:rPr>
                <w:rFonts w:ascii="Calibri" w:hAnsi="Calibri" w:cs="Calibri"/>
                <w:b/>
                <w:bCs/>
                <w:sz w:val="20"/>
                <w:szCs w:val="20"/>
              </w:rPr>
            </w:pPr>
            <w:r>
              <w:rPr>
                <w:rFonts w:ascii="Calibri" w:hAnsi="Calibri" w:cs="Calibri"/>
                <w:b/>
                <w:bCs/>
                <w:sz w:val="20"/>
                <w:szCs w:val="20"/>
              </w:rPr>
              <w:t>Element konfiguracji</w:t>
            </w:r>
          </w:p>
        </w:tc>
        <w:tc>
          <w:tcPr>
            <w:tcW w:w="7110"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799D4657" w14:textId="77777777" w:rsidR="00A75971" w:rsidRPr="000D0DFF" w:rsidRDefault="00A75971" w:rsidP="0018644F">
            <w:pPr>
              <w:autoSpaceDE w:val="0"/>
              <w:autoSpaceDN w:val="0"/>
              <w:adjustRightInd w:val="0"/>
              <w:rPr>
                <w:rFonts w:ascii="Calibri" w:hAnsi="Calibri" w:cs="Calibri"/>
                <w:b/>
                <w:bCs/>
                <w:sz w:val="20"/>
                <w:szCs w:val="20"/>
              </w:rPr>
            </w:pPr>
            <w:r>
              <w:rPr>
                <w:rFonts w:ascii="Calibri" w:hAnsi="Calibri" w:cs="Calibri"/>
                <w:b/>
                <w:bCs/>
                <w:sz w:val="20"/>
                <w:szCs w:val="20"/>
              </w:rPr>
              <w:t>Wymagania minimalne</w:t>
            </w:r>
          </w:p>
        </w:tc>
      </w:tr>
      <w:tr w:rsidR="00A75971" w:rsidRPr="00BE0B48" w14:paraId="33F5165E"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20D11806"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Obudowa</w:t>
            </w:r>
          </w:p>
        </w:tc>
        <w:tc>
          <w:tcPr>
            <w:tcW w:w="7110" w:type="dxa"/>
          </w:tcPr>
          <w:p w14:paraId="10936BA9" w14:textId="7AC6735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Maksymalnie 2U RACK 19 cali wraz z szynami montażowymi.</w:t>
            </w:r>
          </w:p>
          <w:p w14:paraId="0295DED5"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Możliwość wyposażenia serwera w ramię kablowe umożliwiające wysunięcie, do celów serwisowych, serwera z szafy bez konieczności odłączania kabli zasilających i sygnałowych (kable LAN SAN)</w:t>
            </w:r>
          </w:p>
          <w:p w14:paraId="4A9239D7"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Serwer wyposażony w zdejmowanym panelem przedni z zamknięciem.</w:t>
            </w:r>
          </w:p>
          <w:p w14:paraId="66C1CA3E"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 xml:space="preserve">Serwer wyposażony w czujnik otwarcia obudowy współpracującego z BIOS/UEFI. </w:t>
            </w:r>
          </w:p>
          <w:p w14:paraId="337894E6"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Serwer wyposażony w fabryczny moduł TPM 2.0.</w:t>
            </w:r>
          </w:p>
        </w:tc>
      </w:tr>
      <w:tr w:rsidR="00A75971" w:rsidRPr="00BE0B48" w14:paraId="4FCE554B"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5C67F3AE"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Procesor</w:t>
            </w:r>
          </w:p>
          <w:p w14:paraId="1AFC4AC1" w14:textId="77777777" w:rsidR="00A75971" w:rsidRPr="00BE0B48" w:rsidRDefault="00A75971" w:rsidP="0018644F">
            <w:pPr>
              <w:rPr>
                <w:rFonts w:ascii="Calibri" w:hAnsi="Calibri" w:cs="Calibri"/>
                <w:sz w:val="20"/>
                <w:szCs w:val="20"/>
              </w:rPr>
            </w:pPr>
          </w:p>
        </w:tc>
        <w:tc>
          <w:tcPr>
            <w:tcW w:w="7110" w:type="dxa"/>
          </w:tcPr>
          <w:p w14:paraId="5BCCA135" w14:textId="476CDD83" w:rsidR="00A75971" w:rsidRPr="00BE0B48" w:rsidRDefault="00A75971" w:rsidP="0018644F">
            <w:pPr>
              <w:autoSpaceDE w:val="0"/>
              <w:autoSpaceDN w:val="0"/>
              <w:adjustRightInd w:val="0"/>
              <w:jc w:val="both"/>
              <w:rPr>
                <w:rFonts w:ascii="Calibri" w:hAnsi="Calibri" w:cs="Calibri"/>
                <w:sz w:val="20"/>
                <w:szCs w:val="20"/>
                <w:lang w:val="pl-PL"/>
              </w:rPr>
            </w:pPr>
            <w:r>
              <w:rPr>
                <w:rFonts w:ascii="Calibri" w:hAnsi="Calibri" w:cs="Calibri"/>
                <w:sz w:val="20"/>
                <w:szCs w:val="20"/>
                <w:lang w:val="pl-PL"/>
              </w:rPr>
              <w:t>Procesor 16-rdzeniowy x86-64, taktowanie bazowe min. 2,3 GHz, zdolny do obsługi środowiska domenowego Active Directory oraz wirtualizacji dla min. 26 użytkowników.</w:t>
            </w:r>
          </w:p>
          <w:p w14:paraId="545158F3" w14:textId="77777777" w:rsidR="00A75971" w:rsidRPr="00BE0B48" w:rsidRDefault="00A75971" w:rsidP="0018644F">
            <w:pPr>
              <w:autoSpaceDE w:val="0"/>
              <w:autoSpaceDN w:val="0"/>
              <w:adjustRightInd w:val="0"/>
              <w:rPr>
                <w:rFonts w:ascii="Calibri" w:hAnsi="Calibri" w:cs="Calibri"/>
                <w:color w:val="0000FF"/>
                <w:sz w:val="20"/>
                <w:szCs w:val="20"/>
                <w:u w:val="single"/>
              </w:rPr>
            </w:pPr>
            <w:r>
              <w:rPr>
                <w:rFonts w:ascii="Calibri" w:hAnsi="Calibri" w:cs="Calibri"/>
                <w:sz w:val="20"/>
                <w:szCs w:val="20"/>
              </w:rPr>
              <w:t>Płyta główna umożliwiająca instalację procesorów o liczbie rdzeni co najmniej 32 i taktowaniu CPU do min. 4,1 GHz.</w:t>
            </w:r>
          </w:p>
        </w:tc>
      </w:tr>
      <w:tr w:rsidR="00A75971" w:rsidRPr="00BE0B48" w14:paraId="4D0F1C51"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39AAF11E"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Liczba procesorów</w:t>
            </w:r>
          </w:p>
        </w:tc>
        <w:tc>
          <w:tcPr>
            <w:tcW w:w="7110" w:type="dxa"/>
          </w:tcPr>
          <w:p w14:paraId="6DF0E1B0"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Min. 1 procesor, płyta główna min. jednoprocesorowa</w:t>
            </w:r>
          </w:p>
        </w:tc>
      </w:tr>
      <w:tr w:rsidR="00A75971" w:rsidRPr="00BE0B48" w14:paraId="23D37F5D"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57BE212C"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Pamięć operacyjna</w:t>
            </w:r>
          </w:p>
        </w:tc>
        <w:tc>
          <w:tcPr>
            <w:tcW w:w="7110" w:type="dxa"/>
          </w:tcPr>
          <w:p w14:paraId="340B7558"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Min. 32 GB RAM DDR4 lub DDR5 z obsługą ECC, w modułach o pojemności min. 16 GB każdy.</w:t>
            </w:r>
          </w:p>
          <w:p w14:paraId="36A17B13"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Płyta główna z minimum 8 slotami na pamięć.</w:t>
            </w:r>
          </w:p>
          <w:p w14:paraId="6BFB5407"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Obsługa zabezpieczeń: ECC.</w:t>
            </w:r>
          </w:p>
        </w:tc>
      </w:tr>
      <w:tr w:rsidR="00A75971" w:rsidRPr="00BE0B48" w14:paraId="7A644458"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03C9DF24"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Sloty rozszerzeń</w:t>
            </w:r>
          </w:p>
        </w:tc>
        <w:tc>
          <w:tcPr>
            <w:tcW w:w="7110" w:type="dxa"/>
          </w:tcPr>
          <w:p w14:paraId="72821F13"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Serwer musi być wyposażony w:</w:t>
            </w:r>
          </w:p>
          <w:p w14:paraId="04EF022F"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  1 aktywne gniazdo PCI-Express generacji 5, każde gniazdo x16</w:t>
            </w:r>
          </w:p>
          <w:p w14:paraId="6033764D"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 xml:space="preserve">- możliwość rozbudowy do 2 slotów PCI-e generacji 5. </w:t>
            </w:r>
          </w:p>
          <w:p w14:paraId="314E4EC7"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Serwer musi mieć dodatkowo dedykowane dwa sloty OCP:</w:t>
            </w:r>
          </w:p>
          <w:p w14:paraId="2430E3DD"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 na kontroler dyskowy</w:t>
            </w:r>
          </w:p>
          <w:p w14:paraId="02A25846"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lub</w:t>
            </w:r>
          </w:p>
          <w:p w14:paraId="292137BE"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 na kartę sieciową niezajmującą slotów PCI-Express.</w:t>
            </w:r>
          </w:p>
        </w:tc>
      </w:tr>
      <w:tr w:rsidR="00A75971" w:rsidRPr="00BE0B48" w14:paraId="09ED56B4"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739EF062"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Dysk twardy</w:t>
            </w:r>
          </w:p>
          <w:p w14:paraId="3378C8BA" w14:textId="77777777" w:rsidR="00A75971" w:rsidRPr="00BE0B48" w:rsidRDefault="00A75971" w:rsidP="0018644F">
            <w:pPr>
              <w:autoSpaceDE w:val="0"/>
              <w:autoSpaceDN w:val="0"/>
              <w:adjustRightInd w:val="0"/>
              <w:rPr>
                <w:rFonts w:ascii="Calibri" w:hAnsi="Calibri" w:cs="Calibri"/>
                <w:sz w:val="20"/>
                <w:szCs w:val="20"/>
              </w:rPr>
            </w:pPr>
          </w:p>
        </w:tc>
        <w:tc>
          <w:tcPr>
            <w:tcW w:w="7110" w:type="dxa"/>
          </w:tcPr>
          <w:p w14:paraId="3BB95B6A" w14:textId="2A43D90D"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 xml:space="preserve">Zatoki dyskowe gotowe do zainstalowania min. 8 dysków 2,5” typu Hot Swap. Zamawiający dopuszcza serwer obsługujący dyski NVMe albo SAS12G/SATA/SSD; nie jest wymagana jednoczesna obsługa dysków NVMe oraz SAS/SATA w tych samych zatokach dyskowych. </w:t>
            </w:r>
          </w:p>
          <w:p w14:paraId="50F4D529" w14:textId="77777777" w:rsidR="00A75971" w:rsidRPr="00BE0B48" w:rsidRDefault="00A75971" w:rsidP="0018644F">
            <w:pPr>
              <w:autoSpaceDE w:val="0"/>
              <w:autoSpaceDN w:val="0"/>
              <w:adjustRightInd w:val="0"/>
              <w:jc w:val="both"/>
              <w:rPr>
                <w:rFonts w:ascii="Calibri" w:hAnsi="Calibri" w:cs="Calibri"/>
                <w:sz w:val="20"/>
                <w:szCs w:val="20"/>
              </w:rPr>
            </w:pPr>
          </w:p>
          <w:p w14:paraId="5BA27610"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Zainstalowane:</w:t>
            </w:r>
          </w:p>
          <w:p w14:paraId="02981A6F"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 xml:space="preserve">- 2 x dysk 480GB SATA 6G SSD Mix-Use 2.5” typu hot swap  </w:t>
            </w:r>
          </w:p>
          <w:p w14:paraId="203AC6E7" w14:textId="77777777" w:rsidR="00A75971" w:rsidRPr="00BE0B48" w:rsidRDefault="00A75971" w:rsidP="0018644F">
            <w:pPr>
              <w:autoSpaceDE w:val="0"/>
              <w:autoSpaceDN w:val="0"/>
              <w:adjustRightInd w:val="0"/>
              <w:jc w:val="both"/>
              <w:rPr>
                <w:rFonts w:ascii="Calibri" w:hAnsi="Calibri" w:cs="Calibri"/>
                <w:sz w:val="20"/>
                <w:szCs w:val="20"/>
              </w:rPr>
            </w:pPr>
          </w:p>
        </w:tc>
      </w:tr>
      <w:tr w:rsidR="00A75971" w:rsidRPr="00BE0B48" w14:paraId="48936508"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7123E625"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Kontroler</w:t>
            </w:r>
          </w:p>
        </w:tc>
        <w:tc>
          <w:tcPr>
            <w:tcW w:w="7110" w:type="dxa"/>
          </w:tcPr>
          <w:p w14:paraId="09410079" w14:textId="07EA98B9"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Serwer wyposażony w kontroler sprzętowy, zapewniający obsługę min. 8 napędów dyskowych NVMe/SAS12G oraz obsługujący poziomy: RAID 0/1/10.</w:t>
            </w:r>
          </w:p>
          <w:p w14:paraId="1DBBCC25"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Kontroler umożliwiający pracę z dyskami w trybach RAID i JBOD jednocześnie</w:t>
            </w:r>
          </w:p>
        </w:tc>
      </w:tr>
      <w:tr w:rsidR="00A75971" w:rsidRPr="00BE0B48" w14:paraId="1104E591"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5997C995"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Interfejsy sieciowe</w:t>
            </w:r>
          </w:p>
        </w:tc>
        <w:tc>
          <w:tcPr>
            <w:tcW w:w="7110" w:type="dxa"/>
          </w:tcPr>
          <w:p w14:paraId="2F1D45A0"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Karta, minimum 2 porty Ethernet 10GbE SFP+ które nie zajmują gniazd PCIe opisanych w sekcji „Sloty rozszerzeń”, wyposażone w minimum 2 porty 10GbE SFP+ obsługujące wkładki SFP+ SR.</w:t>
            </w:r>
          </w:p>
        </w:tc>
      </w:tr>
      <w:tr w:rsidR="00A75971" w:rsidRPr="00BE0B48" w14:paraId="641E2E0B"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03E7A85F"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Karta graficzna</w:t>
            </w:r>
          </w:p>
        </w:tc>
        <w:tc>
          <w:tcPr>
            <w:tcW w:w="7110" w:type="dxa"/>
          </w:tcPr>
          <w:p w14:paraId="6932FCEE"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Zintegrowana karta graficzna</w:t>
            </w:r>
          </w:p>
        </w:tc>
      </w:tr>
      <w:tr w:rsidR="00A75971" w:rsidRPr="00BE0B48" w14:paraId="1FEE80CF"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74D9584D"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Porty</w:t>
            </w:r>
          </w:p>
        </w:tc>
        <w:tc>
          <w:tcPr>
            <w:tcW w:w="7110" w:type="dxa"/>
          </w:tcPr>
          <w:p w14:paraId="511D68EC" w14:textId="4DF1B23F"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min. 3 porty USB w standardzie min. USB 3.0 (USB 3.2 Gen1), w tym min. 1 port wewnętrzny</w:t>
            </w:r>
          </w:p>
          <w:p w14:paraId="704F15C0"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 xml:space="preserve">1x VGA </w:t>
            </w:r>
          </w:p>
          <w:p w14:paraId="250255CC" w14:textId="77777777" w:rsidR="00A75971" w:rsidRPr="00BE0B48" w:rsidRDefault="00A75971" w:rsidP="0018644F">
            <w:pPr>
              <w:autoSpaceDE w:val="0"/>
              <w:autoSpaceDN w:val="0"/>
              <w:adjustRightInd w:val="0"/>
              <w:jc w:val="both"/>
              <w:rPr>
                <w:rFonts w:ascii="Calibri" w:hAnsi="Calibri" w:cs="Calibri"/>
                <w:sz w:val="20"/>
                <w:szCs w:val="20"/>
              </w:rPr>
            </w:pPr>
          </w:p>
          <w:p w14:paraId="65A22E13" w14:textId="77777777" w:rsidR="00A75971" w:rsidRPr="00BE0B48" w:rsidRDefault="00A75971" w:rsidP="0018644F">
            <w:pPr>
              <w:autoSpaceDE w:val="0"/>
              <w:autoSpaceDN w:val="0"/>
              <w:adjustRightInd w:val="0"/>
              <w:jc w:val="both"/>
              <w:rPr>
                <w:rFonts w:ascii="Calibri" w:hAnsi="Calibri" w:cs="Calibri"/>
                <w:sz w:val="20"/>
                <w:szCs w:val="20"/>
              </w:rPr>
            </w:pPr>
            <w:r>
              <w:rPr>
                <w:rFonts w:ascii="Calibri" w:hAnsi="Calibri" w:cs="Calibri"/>
                <w:sz w:val="20"/>
                <w:szCs w:val="20"/>
              </w:rPr>
              <w:t>Możliwość rozbudowy/rekonfiguracji o:</w:t>
            </w:r>
          </w:p>
          <w:p w14:paraId="19CE8D3C" w14:textId="4C4FE7D6" w:rsidR="00A75971" w:rsidRPr="00BE0B48" w:rsidRDefault="00A75971" w:rsidP="0018644F">
            <w:pPr>
              <w:autoSpaceDE w:val="0"/>
              <w:autoSpaceDN w:val="0"/>
              <w:adjustRightInd w:val="0"/>
              <w:rPr>
                <w:rFonts w:ascii="Calibri" w:hAnsi="Calibri" w:cs="Calibri"/>
                <w:sz w:val="20"/>
                <w:szCs w:val="20"/>
              </w:rPr>
            </w:pPr>
          </w:p>
          <w:p w14:paraId="240CF3B7" w14:textId="77777777" w:rsidR="00A75971" w:rsidRPr="00BE0B48" w:rsidRDefault="00A75971" w:rsidP="0018644F">
            <w:pPr>
              <w:autoSpaceDE w:val="0"/>
              <w:autoSpaceDN w:val="0"/>
              <w:adjustRightInd w:val="0"/>
              <w:rPr>
                <w:rFonts w:ascii="Calibri" w:hAnsi="Calibri" w:cs="Calibri"/>
                <w:sz w:val="20"/>
                <w:szCs w:val="20"/>
              </w:rPr>
            </w:pPr>
          </w:p>
        </w:tc>
      </w:tr>
      <w:tr w:rsidR="00A75971" w:rsidRPr="00BE0B48" w14:paraId="000BBC58"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1BD04A10"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Zasilacz</w:t>
            </w:r>
          </w:p>
        </w:tc>
        <w:tc>
          <w:tcPr>
            <w:tcW w:w="7110" w:type="dxa"/>
          </w:tcPr>
          <w:p w14:paraId="20B5F885"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Min. 1 zasilacz, opcjonalnie 2 redundantne Hot-plug, każdy o mocy minimum 500 W.</w:t>
            </w:r>
          </w:p>
        </w:tc>
      </w:tr>
      <w:tr w:rsidR="00A75971" w:rsidRPr="00BE0B48" w14:paraId="16022919"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5D452E05"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Chłodzenie</w:t>
            </w:r>
          </w:p>
        </w:tc>
        <w:tc>
          <w:tcPr>
            <w:tcW w:w="7110" w:type="dxa"/>
          </w:tcPr>
          <w:p w14:paraId="42035C8B"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Zestaw wentylatorów redundantnych typu hot-plug</w:t>
            </w:r>
          </w:p>
        </w:tc>
      </w:tr>
      <w:tr w:rsidR="00A75971" w:rsidRPr="00BE0B48" w14:paraId="522D7A1F"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6BEF6D6F"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lastRenderedPageBreak/>
              <w:t>Karta/moduł zarządzający</w:t>
            </w:r>
          </w:p>
        </w:tc>
        <w:tc>
          <w:tcPr>
            <w:tcW w:w="7110" w:type="dxa"/>
            <w:vAlign w:val="center"/>
          </w:tcPr>
          <w:p w14:paraId="5B4634DB" w14:textId="77777777" w:rsidR="00A75971" w:rsidRPr="00BE0B48" w:rsidRDefault="00A75971" w:rsidP="0018644F">
            <w:pPr>
              <w:rPr>
                <w:rFonts w:ascii="Calibri" w:hAnsi="Calibri" w:cs="Calibri"/>
                <w:sz w:val="20"/>
                <w:szCs w:val="20"/>
              </w:rPr>
            </w:pPr>
            <w:r>
              <w:rPr>
                <w:rFonts w:ascii="Calibri" w:hAnsi="Calibri" w:cs="Calibri"/>
                <w:sz w:val="20"/>
                <w:szCs w:val="20"/>
              </w:rPr>
              <w:t>Niezależna od system operacyjnego, zintegrowana z płytą główną serwera lub jako dodatkowa karta w slocie PCI Express, jednak nie może ona powodować zmniejszenia minimalnej liczby gniazd PCIe w serwerze, posiadająca minimalną funkcjonalność:</w:t>
            </w:r>
          </w:p>
          <w:p w14:paraId="2F66A760"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monitorowanie podzespołów serwera: temperatura, zasilacze, wentylatory, procesory, pamięć RAM, kontrolery macierzowe i dyski (fizyczne i logiczne)</w:t>
            </w:r>
          </w:p>
          <w:p w14:paraId="102FE458"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wsparcie dla pracy w trybie bezagentowym – bez agentów zarządzania instalowanych w systemie operacyjnym z generowaniem alertów SNMP</w:t>
            </w:r>
          </w:p>
          <w:p w14:paraId="1857CEFA"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 xml:space="preserve">dostęp do karty zarządzającej poprzez </w:t>
            </w:r>
          </w:p>
          <w:p w14:paraId="7BABF979"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 xml:space="preserve">dedykowany port RJ45 z tyłu serwera lub </w:t>
            </w:r>
          </w:p>
          <w:p w14:paraId="0F8EA10E"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 xml:space="preserve">przez współdzielony port zintegrowanej karty sieciowej serwera  </w:t>
            </w:r>
          </w:p>
          <w:p w14:paraId="6DC54091" w14:textId="77777777" w:rsidR="00A75971" w:rsidRPr="00BE0B48" w:rsidRDefault="00A75971">
            <w:pPr>
              <w:pStyle w:val="Akapitzlist"/>
              <w:numPr>
                <w:ilvl w:val="0"/>
                <w:numId w:val="35"/>
              </w:numPr>
              <w:rPr>
                <w:rFonts w:ascii="Calibri" w:hAnsi="Calibri" w:cs="Calibri"/>
                <w:sz w:val="20"/>
                <w:szCs w:val="20"/>
              </w:rPr>
            </w:pPr>
            <w:r>
              <w:rPr>
                <w:rFonts w:ascii="Calibri" w:hAnsi="Calibri" w:cs="Calibri"/>
                <w:sz w:val="20"/>
                <w:szCs w:val="20"/>
              </w:rPr>
              <w:t xml:space="preserve">dostęp do karty możliwy </w:t>
            </w:r>
          </w:p>
          <w:p w14:paraId="434AFA81"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z poziomu przeglądarki webowej (GUI)</w:t>
            </w:r>
          </w:p>
          <w:p w14:paraId="2E78FC35" w14:textId="77777777" w:rsidR="00A75971" w:rsidRPr="00BE0B48" w:rsidRDefault="00A75971">
            <w:pPr>
              <w:pStyle w:val="Akapitzlist"/>
              <w:numPr>
                <w:ilvl w:val="1"/>
                <w:numId w:val="34"/>
              </w:numPr>
              <w:ind w:left="1440"/>
              <w:rPr>
                <w:rFonts w:ascii="Calibri" w:hAnsi="Calibri" w:cs="Calibri"/>
                <w:sz w:val="20"/>
                <w:szCs w:val="20"/>
                <w:lang w:val="en-US"/>
              </w:rPr>
            </w:pPr>
            <w:r>
              <w:rPr>
                <w:rFonts w:ascii="Calibri" w:hAnsi="Calibri" w:cs="Calibri"/>
                <w:sz w:val="20"/>
                <w:szCs w:val="20"/>
                <w:lang w:val="en-US"/>
              </w:rPr>
              <w:t>z poziomu linii komend zgodnie z DMTF System Management Architecture for Server Hardware, Server Management Command Line Protocol (SM CLP)</w:t>
            </w:r>
          </w:p>
          <w:p w14:paraId="727052D2" w14:textId="77777777" w:rsidR="00A75971" w:rsidRPr="00BE0B48" w:rsidRDefault="00A75971">
            <w:pPr>
              <w:pStyle w:val="Akapitzlist"/>
              <w:numPr>
                <w:ilvl w:val="1"/>
                <w:numId w:val="34"/>
              </w:numPr>
              <w:ind w:left="1440"/>
              <w:rPr>
                <w:rFonts w:ascii="Calibri" w:hAnsi="Calibri" w:cs="Calibri"/>
                <w:sz w:val="20"/>
                <w:szCs w:val="20"/>
                <w:lang w:val="de-DE"/>
              </w:rPr>
            </w:pPr>
            <w:r>
              <w:rPr>
                <w:rFonts w:ascii="Calibri" w:hAnsi="Calibri" w:cs="Calibri"/>
                <w:sz w:val="20"/>
                <w:szCs w:val="20"/>
                <w:lang w:val="de-DE"/>
              </w:rPr>
              <w:t>poprzez interfejs IPMI 2.0 (Intelligent Platform Management Interface)</w:t>
            </w:r>
          </w:p>
          <w:p w14:paraId="5A262CC3"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wbudowane narzędzia diagnostyczne</w:t>
            </w:r>
          </w:p>
          <w:p w14:paraId="05901307"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zdalna konfiguracji serwera (BIOS) i instalacji systemu operacyjnego</w:t>
            </w:r>
          </w:p>
          <w:p w14:paraId="0336B363"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wbudowany mechanizm logowania zdarzeń serwera i karty zarządzającej w tym włączanie/wyłączanie serwera, restart, zmiany w konfiguracji, logowanie użytkowników</w:t>
            </w:r>
          </w:p>
          <w:p w14:paraId="648C8726"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przesyłanie alertów poprzez e-mail oraz przekierowanie SNMP (SNMP passthrough)</w:t>
            </w:r>
          </w:p>
          <w:p w14:paraId="7E29A0C2"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obsługa zdalnego serwera logowania (remote syslog)</w:t>
            </w:r>
          </w:p>
          <w:p w14:paraId="1E092F29"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 xml:space="preserve">wirtualna zadalna konsola, tekstowa i graficzna, z dostępem do myszy i klawiatury i możliwością podłączenia wirtualnych napędów CD/DVD i USB i wirtualnych folderów </w:t>
            </w:r>
          </w:p>
          <w:p w14:paraId="6162F4F6"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mechanizm przechwytywania, nagrywania i odtwarzania sekwencji video dla ostatniej awarii i ostatniego startu serwera a także nagrywanie na żądanie</w:t>
            </w:r>
          </w:p>
          <w:p w14:paraId="2C5C5CA2"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 xml:space="preserve">funkcja zdalnej konsoli szeregowej przez SSH (wirtualny port szeregowy) </w:t>
            </w:r>
          </w:p>
          <w:p w14:paraId="6E5A6F77"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monitorowanie zasilania oraz zużycia energii przez serwer w czasie z możliwością graficznej prezentacji</w:t>
            </w:r>
          </w:p>
          <w:p w14:paraId="1E732669"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 xml:space="preserve">konfiguracja maksymalnego poziomu pobieranej mocy przez serwer (capping) </w:t>
            </w:r>
          </w:p>
          <w:p w14:paraId="42955F7D"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zdalna aktualizacja oprogramowania (firmware)</w:t>
            </w:r>
          </w:p>
          <w:p w14:paraId="777D13FA"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zarządzanie grupami serwerów, w tym:</w:t>
            </w:r>
          </w:p>
          <w:p w14:paraId="1474484C"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tworzenie i konfiguracja grup serwerów</w:t>
            </w:r>
          </w:p>
          <w:p w14:paraId="4C06436E"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 xml:space="preserve">sterowanie zasilaniem (wł/wył) </w:t>
            </w:r>
          </w:p>
          <w:p w14:paraId="2755B92A"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ograniczenie poboru mocy dla grupy (power caping)</w:t>
            </w:r>
          </w:p>
          <w:p w14:paraId="1EAD50CF"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aktualizacja oprogramowania (firmware)</w:t>
            </w:r>
          </w:p>
          <w:p w14:paraId="7A01D2C9" w14:textId="77777777" w:rsidR="00A75971" w:rsidRPr="00BE0B48" w:rsidRDefault="00A75971">
            <w:pPr>
              <w:pStyle w:val="Akapitzlist"/>
              <w:numPr>
                <w:ilvl w:val="1"/>
                <w:numId w:val="34"/>
              </w:numPr>
              <w:ind w:left="1440"/>
              <w:rPr>
                <w:rFonts w:ascii="Calibri" w:hAnsi="Calibri" w:cs="Calibri"/>
                <w:sz w:val="20"/>
                <w:szCs w:val="20"/>
              </w:rPr>
            </w:pPr>
            <w:r>
              <w:rPr>
                <w:rFonts w:ascii="Calibri" w:hAnsi="Calibri" w:cs="Calibri"/>
                <w:sz w:val="20"/>
                <w:szCs w:val="20"/>
              </w:rPr>
              <w:t>wspólne wirtualne media dla grupy</w:t>
            </w:r>
          </w:p>
          <w:p w14:paraId="33007510"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możliwość równoczesnej obsługi przez min. 2 administratorów</w:t>
            </w:r>
          </w:p>
          <w:p w14:paraId="3397AD05" w14:textId="77777777" w:rsidR="00A75971" w:rsidRDefault="00A75971">
            <w:pPr>
              <w:pStyle w:val="Akapitzlist"/>
              <w:numPr>
                <w:ilvl w:val="0"/>
                <w:numId w:val="34"/>
              </w:numPr>
              <w:ind w:left="720"/>
              <w:rPr>
                <w:rFonts w:ascii="Calibri" w:hAnsi="Calibri" w:cs="Calibri"/>
                <w:sz w:val="20"/>
                <w:szCs w:val="20"/>
              </w:rPr>
            </w:pPr>
            <w:r>
              <w:rPr>
                <w:rFonts w:ascii="Calibri" w:hAnsi="Calibri" w:cs="Calibri"/>
                <w:sz w:val="20"/>
                <w:szCs w:val="20"/>
              </w:rPr>
              <w:t>wsparcie dla Kerberos oraz możliwość integracji z mechanizmami MFA</w:t>
            </w:r>
          </w:p>
          <w:p w14:paraId="5CD57A39"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wsparcie dla Microsoft Active Directory</w:t>
            </w:r>
          </w:p>
          <w:p w14:paraId="04BEBBA5"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obsługa TLS i SSH</w:t>
            </w:r>
          </w:p>
          <w:p w14:paraId="243161BD"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wsparcie dla IPv4 oraz iPv6, obsługa SNMP v3 oraz RESTful API</w:t>
            </w:r>
          </w:p>
          <w:p w14:paraId="157F5D5D" w14:textId="77777777" w:rsidR="00A75971" w:rsidRPr="00BE0B48" w:rsidRDefault="00A75971">
            <w:pPr>
              <w:pStyle w:val="Akapitzlist"/>
              <w:numPr>
                <w:ilvl w:val="0"/>
                <w:numId w:val="34"/>
              </w:numPr>
              <w:ind w:left="720"/>
              <w:rPr>
                <w:rFonts w:ascii="Calibri" w:hAnsi="Calibri" w:cs="Calibri"/>
                <w:sz w:val="20"/>
                <w:szCs w:val="20"/>
              </w:rPr>
            </w:pPr>
            <w:r>
              <w:rPr>
                <w:rFonts w:ascii="Calibri" w:hAnsi="Calibri" w:cs="Calibri"/>
                <w:sz w:val="20"/>
                <w:szCs w:val="20"/>
              </w:rPr>
              <w:t>możliwość autokonfiguracji sieci karty zarządzającej (DNS/DHCP)</w:t>
            </w:r>
          </w:p>
        </w:tc>
      </w:tr>
      <w:tr w:rsidR="00A75971" w:rsidRPr="00F47E12" w14:paraId="36E6B2AD"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35B2E016"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t>Wsparcie dla systemów operacyjnych i systemów wirtualizacyjnych</w:t>
            </w:r>
          </w:p>
        </w:tc>
        <w:tc>
          <w:tcPr>
            <w:tcW w:w="7110" w:type="dxa"/>
            <w:vAlign w:val="center"/>
          </w:tcPr>
          <w:p w14:paraId="2A4B8A41" w14:textId="307DEB7D" w:rsidR="00A75971" w:rsidRPr="00BE0B48" w:rsidRDefault="00A75971" w:rsidP="0018644F">
            <w:pPr>
              <w:rPr>
                <w:rFonts w:ascii="Calibri" w:hAnsi="Calibri" w:cs="Calibri"/>
                <w:sz w:val="20"/>
                <w:szCs w:val="20"/>
                <w:lang w:val="de-DE"/>
              </w:rPr>
            </w:pPr>
            <w:r>
              <w:rPr>
                <w:rFonts w:ascii="Calibri" w:hAnsi="Calibri" w:cs="Calibri"/>
                <w:sz w:val="20"/>
                <w:szCs w:val="20"/>
                <w:lang w:val="de-DE"/>
              </w:rPr>
              <w:t>Microsoft Windows Server 2022, 2025</w:t>
            </w:r>
          </w:p>
          <w:p w14:paraId="2F03A66C" w14:textId="69BFDFB7" w:rsidR="00A75971" w:rsidRPr="00BE0B48" w:rsidRDefault="00A75971" w:rsidP="0018644F">
            <w:pPr>
              <w:rPr>
                <w:rFonts w:ascii="Calibri" w:hAnsi="Calibri" w:cs="Calibri"/>
                <w:sz w:val="20"/>
                <w:szCs w:val="20"/>
                <w:lang w:val="de-DE"/>
              </w:rPr>
            </w:pPr>
            <w:r>
              <w:rPr>
                <w:rFonts w:ascii="Calibri" w:hAnsi="Calibri" w:cs="Calibri"/>
                <w:sz w:val="20"/>
                <w:szCs w:val="20"/>
                <w:lang w:val="de-DE"/>
              </w:rPr>
              <w:t>Red Hat Enterprise Linux (RHEL) 9.4, 10.0</w:t>
            </w:r>
          </w:p>
          <w:p w14:paraId="3A1449A9" w14:textId="77777777" w:rsidR="00A75971" w:rsidRPr="00BE0B48" w:rsidRDefault="00A75971" w:rsidP="0018644F">
            <w:pPr>
              <w:rPr>
                <w:rFonts w:ascii="Calibri" w:hAnsi="Calibri" w:cs="Calibri"/>
                <w:sz w:val="20"/>
                <w:szCs w:val="20"/>
                <w:lang w:val="fr-FR"/>
              </w:rPr>
            </w:pPr>
            <w:r>
              <w:rPr>
                <w:rFonts w:ascii="Calibri" w:hAnsi="Calibri" w:cs="Calibri"/>
                <w:sz w:val="20"/>
                <w:szCs w:val="20"/>
                <w:lang w:val="fr-FR"/>
              </w:rPr>
              <w:t>SUSE Linux Enterprise Server (SLES) 15 SP5, 16</w:t>
            </w:r>
          </w:p>
          <w:p w14:paraId="375ABCB9" w14:textId="77777777" w:rsidR="00A75971" w:rsidRPr="00BE0B48" w:rsidRDefault="00A75971" w:rsidP="0018644F">
            <w:pPr>
              <w:rPr>
                <w:rFonts w:ascii="Calibri" w:hAnsi="Calibri" w:cs="Calibri"/>
                <w:sz w:val="20"/>
                <w:szCs w:val="20"/>
                <w:lang w:val="en-US"/>
              </w:rPr>
            </w:pPr>
            <w:r>
              <w:rPr>
                <w:rFonts w:ascii="Calibri" w:hAnsi="Calibri" w:cs="Calibri"/>
                <w:sz w:val="20"/>
                <w:szCs w:val="20"/>
                <w:lang w:val="en-US"/>
              </w:rPr>
              <w:lastRenderedPageBreak/>
              <w:t>VMware ESXi 8.x, 9.x</w:t>
            </w:r>
          </w:p>
          <w:p w14:paraId="2F06E75D" w14:textId="00F6705C" w:rsidR="00A75971" w:rsidRPr="000D0DFF" w:rsidRDefault="00A75971" w:rsidP="0018644F">
            <w:pPr>
              <w:rPr>
                <w:rFonts w:ascii="Calibri" w:hAnsi="Calibri" w:cs="Calibri"/>
                <w:sz w:val="20"/>
                <w:szCs w:val="20"/>
                <w:lang w:val="en-US"/>
              </w:rPr>
            </w:pPr>
            <w:r>
              <w:rPr>
                <w:rFonts w:ascii="Calibri" w:hAnsi="Calibri" w:cs="Calibri"/>
                <w:sz w:val="20"/>
                <w:szCs w:val="20"/>
                <w:lang w:val="en-US"/>
              </w:rPr>
              <w:t>Canonical Ubuntu Server 24.04 LTS</w:t>
            </w:r>
          </w:p>
        </w:tc>
      </w:tr>
      <w:tr w:rsidR="00A75971" w:rsidRPr="00BE0B48" w14:paraId="398888D3" w14:textId="77777777" w:rsidTr="00186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7" w:type="dxa"/>
          </w:tcPr>
          <w:p w14:paraId="4B617329" w14:textId="77777777" w:rsidR="00A75971" w:rsidRPr="00BE0B48" w:rsidRDefault="00A75971" w:rsidP="0018644F">
            <w:pPr>
              <w:autoSpaceDE w:val="0"/>
              <w:autoSpaceDN w:val="0"/>
              <w:adjustRightInd w:val="0"/>
              <w:rPr>
                <w:rFonts w:ascii="Calibri" w:hAnsi="Calibri" w:cs="Calibri"/>
                <w:sz w:val="20"/>
                <w:szCs w:val="20"/>
              </w:rPr>
            </w:pPr>
            <w:r>
              <w:rPr>
                <w:rFonts w:ascii="Calibri" w:hAnsi="Calibri" w:cs="Calibri"/>
                <w:sz w:val="20"/>
                <w:szCs w:val="20"/>
              </w:rPr>
              <w:lastRenderedPageBreak/>
              <w:t>Wsparcie techniczne</w:t>
            </w:r>
          </w:p>
        </w:tc>
        <w:tc>
          <w:tcPr>
            <w:tcW w:w="7110" w:type="dxa"/>
            <w:vAlign w:val="center"/>
          </w:tcPr>
          <w:p w14:paraId="748BBD57" w14:textId="77777777" w:rsidR="00A75971" w:rsidRPr="00BE0B48" w:rsidRDefault="00A75971" w:rsidP="0018644F">
            <w:pPr>
              <w:rPr>
                <w:rFonts w:ascii="Calibri" w:hAnsi="Calibri" w:cs="Calibri"/>
                <w:sz w:val="20"/>
                <w:szCs w:val="20"/>
              </w:rPr>
            </w:pPr>
            <w:r>
              <w:rPr>
                <w:rFonts w:ascii="Calibri" w:hAnsi="Calibri" w:cs="Calibri"/>
                <w:sz w:val="20"/>
                <w:szCs w:val="20"/>
              </w:rPr>
              <w:t>3-letnia gwarancja producenta w miejscu instalacji.</w:t>
            </w:r>
          </w:p>
          <w:p w14:paraId="2FEB9D74" w14:textId="77777777" w:rsidR="00A75971" w:rsidRPr="00BE0B48" w:rsidRDefault="00A75971" w:rsidP="0018644F">
            <w:pPr>
              <w:rPr>
                <w:rFonts w:ascii="Calibri" w:hAnsi="Calibri" w:cs="Calibri"/>
                <w:sz w:val="20"/>
                <w:szCs w:val="20"/>
              </w:rPr>
            </w:pPr>
            <w:r>
              <w:rPr>
                <w:rFonts w:ascii="Calibri" w:hAnsi="Calibri" w:cs="Calibri"/>
                <w:sz w:val="20"/>
                <w:szCs w:val="20"/>
              </w:rPr>
              <w:t xml:space="preserve">Zgłoszenia przyjmowane w trybie 24x7. </w:t>
            </w:r>
          </w:p>
          <w:p w14:paraId="7D0445E0" w14:textId="77777777" w:rsidR="00A75971" w:rsidRPr="00BE0B48" w:rsidRDefault="00A75971" w:rsidP="0018644F">
            <w:pPr>
              <w:rPr>
                <w:rFonts w:ascii="Calibri" w:hAnsi="Calibri" w:cs="Calibri"/>
                <w:sz w:val="20"/>
                <w:szCs w:val="20"/>
              </w:rPr>
            </w:pPr>
            <w:r>
              <w:rPr>
                <w:rFonts w:ascii="Calibri" w:hAnsi="Calibri" w:cs="Calibri"/>
                <w:sz w:val="20"/>
                <w:szCs w:val="20"/>
              </w:rPr>
              <w:t xml:space="preserve">Czas reakcji w ciągu następnego dnia roboczego od zgłoszenia w miejscu instalacji. </w:t>
            </w:r>
          </w:p>
          <w:p w14:paraId="27F9A14E" w14:textId="09413D16" w:rsidR="00A75971" w:rsidRPr="00BE0B48" w:rsidRDefault="00A75971" w:rsidP="0018644F">
            <w:pPr>
              <w:rPr>
                <w:rFonts w:ascii="Calibri" w:hAnsi="Calibri" w:cs="Calibri"/>
                <w:sz w:val="20"/>
                <w:szCs w:val="20"/>
              </w:rPr>
            </w:pPr>
            <w:r>
              <w:rPr>
                <w:rFonts w:ascii="Calibri" w:hAnsi="Calibri" w:cs="Calibri"/>
                <w:sz w:val="20"/>
                <w:szCs w:val="20"/>
              </w:rPr>
              <w:t>W razie awarii dyski twarde pozostają u Zamawiającego.</w:t>
            </w:r>
          </w:p>
          <w:p w14:paraId="2EADFBCA" w14:textId="77777777" w:rsidR="00A75971" w:rsidRDefault="00A75971" w:rsidP="0018644F">
            <w:pPr>
              <w:rPr>
                <w:rFonts w:ascii="Calibri" w:hAnsi="Calibri" w:cs="Calibri"/>
                <w:sz w:val="20"/>
                <w:szCs w:val="20"/>
              </w:rPr>
            </w:pPr>
            <w:r>
              <w:rPr>
                <w:rFonts w:ascii="Calibri" w:hAnsi="Calibri" w:cs="Calibri"/>
                <w:sz w:val="20"/>
                <w:szCs w:val="20"/>
              </w:rPr>
              <w:t>Wsparcie techniczne realizowane jest przez serwis producenta oferowanego serwera.</w:t>
            </w:r>
          </w:p>
          <w:p w14:paraId="63A12EAD" w14:textId="77777777" w:rsidR="00A75971" w:rsidRPr="00BE0B48" w:rsidRDefault="00A75971" w:rsidP="0018644F">
            <w:pPr>
              <w:rPr>
                <w:rFonts w:ascii="Calibri" w:hAnsi="Calibri" w:cs="Calibri"/>
                <w:sz w:val="20"/>
                <w:szCs w:val="20"/>
              </w:rPr>
            </w:pPr>
            <w:r>
              <w:rPr>
                <w:rFonts w:ascii="Calibri" w:hAnsi="Calibri" w:cs="Calibri"/>
                <w:sz w:val="20"/>
                <w:szCs w:val="20"/>
              </w:rPr>
              <w:t>Dostęp do aktualizacji firmware, BIOS, sterowników i oprogramowania zarządzającego bez dodatkowych opłat i bez konieczności wykupowania dodatkowych subskrypcji przez okres gwarancji</w:t>
            </w:r>
          </w:p>
        </w:tc>
      </w:tr>
    </w:tbl>
    <w:p w14:paraId="0577CD1B" w14:textId="77777777" w:rsidR="00EA06AD" w:rsidRPr="00EA06AD" w:rsidRDefault="00EA06AD" w:rsidP="00EA06AD"/>
    <w:p w14:paraId="260FC65F" w14:textId="77777777" w:rsidR="00FC580F" w:rsidRDefault="00FC580F" w:rsidP="00FC580F"/>
    <w:tbl>
      <w:tblPr>
        <w:tblW w:w="9923" w:type="dxa"/>
        <w:tblInd w:w="-289" w:type="dxa"/>
        <w:tblLayout w:type="fixed"/>
        <w:tblLook w:val="0400" w:firstRow="0" w:lastRow="0" w:firstColumn="0" w:lastColumn="0" w:noHBand="0" w:noVBand="1"/>
      </w:tblPr>
      <w:tblGrid>
        <w:gridCol w:w="1843"/>
        <w:gridCol w:w="8080"/>
      </w:tblGrid>
      <w:tr w:rsidR="0010364F" w:rsidRPr="0010364F" w14:paraId="1492D7A2" w14:textId="77777777" w:rsidTr="009E492D">
        <w:trPr>
          <w:trHeight w:val="846"/>
        </w:trPr>
        <w:tc>
          <w:tcPr>
            <w:tcW w:w="9923" w:type="dxa"/>
            <w:gridSpan w:val="2"/>
            <w:tcBorders>
              <w:top w:val="single" w:sz="4" w:space="0" w:color="000000"/>
              <w:left w:val="single" w:sz="4" w:space="0" w:color="000000"/>
              <w:bottom w:val="single" w:sz="4" w:space="0" w:color="000000"/>
              <w:right w:val="single" w:sz="4" w:space="0" w:color="000000"/>
            </w:tcBorders>
            <w:vAlign w:val="center"/>
          </w:tcPr>
          <w:p w14:paraId="6C3050A6" w14:textId="77777777" w:rsidR="0010364F" w:rsidRPr="0010364F" w:rsidRDefault="0010364F" w:rsidP="0010364F">
            <w:pPr>
              <w:spacing w:line="276" w:lineRule="auto"/>
              <w:ind w:left="10"/>
              <w:rPr>
                <w:rFonts w:ascii="Calibri" w:hAnsi="Calibri" w:cs="Calibri"/>
                <w:sz w:val="20"/>
                <w:szCs w:val="20"/>
              </w:rPr>
            </w:pPr>
            <w:r>
              <w:rPr>
                <w:rFonts w:ascii="Calibri" w:hAnsi="Calibri" w:cs="Calibri"/>
                <w:sz w:val="20"/>
                <w:szCs w:val="20"/>
              </w:rPr>
              <w:t>System operacyjny</w:t>
            </w:r>
          </w:p>
        </w:tc>
      </w:tr>
      <w:tr w:rsidR="0010364F" w:rsidRPr="0010364F" w14:paraId="34E39E76" w14:textId="77777777" w:rsidTr="009E492D">
        <w:trPr>
          <w:trHeight w:val="846"/>
        </w:trPr>
        <w:tc>
          <w:tcPr>
            <w:tcW w:w="1843" w:type="dxa"/>
            <w:tcBorders>
              <w:top w:val="single" w:sz="4" w:space="0" w:color="000000"/>
              <w:left w:val="single" w:sz="4" w:space="0" w:color="000000"/>
              <w:bottom w:val="single" w:sz="4" w:space="0" w:color="000000"/>
              <w:right w:val="single" w:sz="4" w:space="0" w:color="000000"/>
            </w:tcBorders>
            <w:vAlign w:val="center"/>
          </w:tcPr>
          <w:p w14:paraId="606727E8" w14:textId="77777777" w:rsidR="0010364F" w:rsidRPr="0010364F" w:rsidRDefault="0010364F" w:rsidP="0010364F">
            <w:pPr>
              <w:spacing w:line="276" w:lineRule="auto"/>
              <w:ind w:left="10"/>
              <w:rPr>
                <w:rFonts w:ascii="Calibri" w:hAnsi="Calibri" w:cs="Calibri"/>
                <w:sz w:val="20"/>
                <w:szCs w:val="20"/>
              </w:rPr>
            </w:pPr>
            <w:r>
              <w:rPr>
                <w:rFonts w:ascii="Calibri" w:hAnsi="Calibri" w:cs="Calibri"/>
                <w:sz w:val="20"/>
                <w:szCs w:val="20"/>
              </w:rPr>
              <w:t>System operacyjny</w:t>
            </w:r>
          </w:p>
        </w:tc>
        <w:tc>
          <w:tcPr>
            <w:tcW w:w="8080" w:type="dxa"/>
            <w:tcBorders>
              <w:top w:val="single" w:sz="4" w:space="0" w:color="000000"/>
              <w:left w:val="single" w:sz="4" w:space="0" w:color="000000"/>
              <w:bottom w:val="single" w:sz="4" w:space="0" w:color="000000"/>
              <w:right w:val="single" w:sz="4" w:space="0" w:color="000000"/>
            </w:tcBorders>
            <w:vAlign w:val="center"/>
          </w:tcPr>
          <w:p w14:paraId="7072E91D" w14:textId="0104FC85" w:rsidR="0010364F" w:rsidRPr="0010364F" w:rsidRDefault="0010364F">
            <w:pPr>
              <w:pStyle w:val="Akapitzlist"/>
              <w:numPr>
                <w:ilvl w:val="0"/>
                <w:numId w:val="20"/>
              </w:numPr>
              <w:spacing w:line="276" w:lineRule="auto"/>
              <w:rPr>
                <w:rFonts w:ascii="Calibri" w:hAnsi="Calibri" w:cs="Calibri"/>
                <w:sz w:val="20"/>
                <w:szCs w:val="20"/>
              </w:rPr>
            </w:pPr>
            <w:r>
              <w:rPr>
                <w:rFonts w:ascii="Calibri" w:hAnsi="Calibri" w:cs="Calibri"/>
                <w:sz w:val="20"/>
                <w:szCs w:val="20"/>
              </w:rPr>
              <w:t>Microsoft Windows Server Standard 2025 lub równoważny (kryteria równoważności: o</w:t>
            </w:r>
            <w:r>
              <w:rPr>
                <w:rFonts w:ascii="Calibri" w:hAnsi="Calibri" w:cs="Calibri"/>
                <w:sz w:val="20"/>
                <w:szCs w:val="20"/>
                <w:lang w:val="pl-PL"/>
              </w:rPr>
              <w:t xml:space="preserve">bsługa wirtualizacji typu hypervisor z możliwością uruchomienia 4 maszyn wirtualnych, wsparcie dla klastrów wysokiej dostępności (failover clustering), obsługa Active Directory lub równoważnej usługi katalogowej, wsparcie dla protokołów sieciowych: TCP/IP, DNS, DHCP, iSCSI,  możliwość zarządzania zdalnego poprzez interfejs webowy lub dedykowaną konsolę, wsparcie techniczne producenta przez minimum 10 lat od daty wydania) </w:t>
            </w:r>
            <w:r>
              <w:rPr>
                <w:rFonts w:ascii="Calibri" w:hAnsi="Calibri" w:cs="Calibri"/>
                <w:sz w:val="20"/>
                <w:szCs w:val="20"/>
              </w:rPr>
              <w:t>.</w:t>
            </w:r>
          </w:p>
          <w:p w14:paraId="0365E4B7" w14:textId="77777777" w:rsidR="0010364F" w:rsidRPr="0010364F" w:rsidRDefault="0010364F">
            <w:pPr>
              <w:pStyle w:val="Akapitzlist"/>
              <w:numPr>
                <w:ilvl w:val="0"/>
                <w:numId w:val="20"/>
              </w:numPr>
              <w:spacing w:line="276" w:lineRule="auto"/>
              <w:rPr>
                <w:rFonts w:ascii="Calibri" w:hAnsi="Calibri" w:cs="Calibri"/>
                <w:sz w:val="20"/>
                <w:szCs w:val="20"/>
              </w:rPr>
            </w:pPr>
            <w:r>
              <w:rPr>
                <w:rFonts w:ascii="Calibri" w:hAnsi="Calibri" w:cs="Calibri"/>
                <w:sz w:val="20"/>
                <w:szCs w:val="20"/>
              </w:rPr>
              <w:t>System operacyjny powinien obsługiwać liczbę rdzeni procesora odpowiadającą specyfikacji oferowanego serwera – tzn. musi być dostarczony w wersji z odpowiednią licencją na wszystkie fizyczne rdzenie procesorów zainstalowanych w serwerze.</w:t>
            </w:r>
          </w:p>
          <w:p w14:paraId="7703F899" w14:textId="77777777" w:rsidR="0010364F" w:rsidRPr="0010364F" w:rsidRDefault="0010364F">
            <w:pPr>
              <w:pStyle w:val="Akapitzlist"/>
              <w:numPr>
                <w:ilvl w:val="0"/>
                <w:numId w:val="20"/>
              </w:numPr>
              <w:spacing w:line="276" w:lineRule="auto"/>
              <w:rPr>
                <w:rFonts w:ascii="Calibri" w:hAnsi="Calibri" w:cs="Calibri"/>
                <w:sz w:val="20"/>
                <w:szCs w:val="20"/>
              </w:rPr>
            </w:pPr>
            <w:r>
              <w:rPr>
                <w:rFonts w:ascii="Calibri" w:hAnsi="Calibri" w:cs="Calibri"/>
                <w:sz w:val="20"/>
                <w:szCs w:val="20"/>
              </w:rPr>
              <w:t>System operacyjny powinien obsługiwać 4 maszyny wirtualne.</w:t>
            </w:r>
          </w:p>
          <w:p w14:paraId="6E6507A8" w14:textId="77777777" w:rsidR="0010364F" w:rsidRPr="0010364F" w:rsidRDefault="0010364F">
            <w:pPr>
              <w:pStyle w:val="Akapitzlist"/>
              <w:numPr>
                <w:ilvl w:val="0"/>
                <w:numId w:val="20"/>
              </w:numPr>
              <w:spacing w:line="276" w:lineRule="auto"/>
              <w:rPr>
                <w:rFonts w:ascii="Calibri" w:hAnsi="Calibri" w:cs="Calibri"/>
                <w:sz w:val="20"/>
                <w:szCs w:val="20"/>
              </w:rPr>
            </w:pPr>
            <w:r>
              <w:rPr>
                <w:rFonts w:ascii="Calibri" w:hAnsi="Calibri" w:cs="Calibri"/>
                <w:sz w:val="20"/>
                <w:szCs w:val="20"/>
              </w:rPr>
              <w:t>Jeśli licencjonowanie producenta oferowanego rozwiązania tego wymaga, to należy dostarczyć 26 licencji dostępowych typu CAL dla urządzeń peryferyjnych.</w:t>
            </w:r>
          </w:p>
        </w:tc>
      </w:tr>
    </w:tbl>
    <w:p w14:paraId="4714D7A0" w14:textId="77777777" w:rsidR="00FC580F" w:rsidRDefault="00FC580F"/>
    <w:p w14:paraId="0CB0A7A2" w14:textId="77777777" w:rsidR="00CE6F22" w:rsidRDefault="00CE6F22" w:rsidP="00CE6F22"/>
    <w:p w14:paraId="0A08E690" w14:textId="77777777" w:rsidR="00E84A02" w:rsidRDefault="00E84A02" w:rsidP="00CE6F22"/>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8079"/>
      </w:tblGrid>
      <w:tr w:rsidR="00E84A02" w:rsidRPr="0010364F" w14:paraId="5A5F98F8" w14:textId="77777777" w:rsidTr="0010364F">
        <w:tc>
          <w:tcPr>
            <w:tcW w:w="9923" w:type="dxa"/>
            <w:gridSpan w:val="2"/>
            <w:shd w:val="clear" w:color="auto" w:fill="D1D1D1" w:themeFill="background2" w:themeFillShade="E6"/>
          </w:tcPr>
          <w:p w14:paraId="10990B9F" w14:textId="77777777" w:rsidR="00E84A02" w:rsidRPr="0010364F" w:rsidRDefault="00E84A02" w:rsidP="009421E4">
            <w:pPr>
              <w:spacing w:line="276" w:lineRule="auto"/>
              <w:jc w:val="center"/>
              <w:rPr>
                <w:rFonts w:ascii="Calibri" w:eastAsia="Aptos" w:hAnsi="Calibri" w:cs="Calibri"/>
                <w:b/>
                <w:sz w:val="20"/>
                <w:szCs w:val="20"/>
              </w:rPr>
            </w:pPr>
            <w:r>
              <w:rPr>
                <w:rFonts w:ascii="Calibri" w:eastAsia="Aptos" w:hAnsi="Calibri" w:cs="Calibri"/>
                <w:b/>
                <w:sz w:val="20"/>
                <w:szCs w:val="20"/>
              </w:rPr>
              <w:t>Instalacja i wdrożenie</w:t>
            </w:r>
          </w:p>
        </w:tc>
      </w:tr>
      <w:tr w:rsidR="00E84A02" w:rsidRPr="0010364F" w14:paraId="2F39D7AF" w14:textId="77777777" w:rsidTr="0010364F">
        <w:tc>
          <w:tcPr>
            <w:tcW w:w="1844" w:type="dxa"/>
          </w:tcPr>
          <w:p w14:paraId="207C4381" w14:textId="77777777" w:rsidR="00E84A02" w:rsidRPr="0010364F" w:rsidRDefault="00E84A02" w:rsidP="009421E4">
            <w:pPr>
              <w:spacing w:line="276" w:lineRule="auto"/>
              <w:rPr>
                <w:rFonts w:ascii="Calibri" w:eastAsia="Aptos" w:hAnsi="Calibri" w:cs="Calibri"/>
                <w:b/>
                <w:sz w:val="20"/>
                <w:szCs w:val="20"/>
              </w:rPr>
            </w:pPr>
            <w:r>
              <w:rPr>
                <w:rFonts w:ascii="Calibri" w:eastAsia="Aptos" w:hAnsi="Calibri" w:cs="Calibri"/>
                <w:b/>
                <w:sz w:val="20"/>
                <w:szCs w:val="20"/>
              </w:rPr>
              <w:t>Instalacja i wdrożenie</w:t>
            </w:r>
          </w:p>
        </w:tc>
        <w:tc>
          <w:tcPr>
            <w:tcW w:w="8079" w:type="dxa"/>
          </w:tcPr>
          <w:p w14:paraId="5A36646F" w14:textId="77777777" w:rsidR="00E84A02" w:rsidRPr="0010364F" w:rsidRDefault="00E84A02" w:rsidP="009421E4">
            <w:p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W ramach wdrożenia Wykonawca zobowiązany jest do:</w:t>
            </w:r>
          </w:p>
          <w:p w14:paraId="73B7D57B" w14:textId="43D8B4E9"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dostawy urządzenie do wskazanej lokalizacji,</w:t>
            </w:r>
          </w:p>
          <w:p w14:paraId="6E85C3BF"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montażu i przeprowadzenia podstawowej konfiguracji urządzenia,</w:t>
            </w:r>
          </w:p>
          <w:p w14:paraId="1CB35E2A"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ustawienie podstawowych parametrów pracy urządzenia, aktualizację firmware, podłączenie do sieci energetycznej i logicznej, itp.</w:t>
            </w:r>
          </w:p>
          <w:p w14:paraId="5D4B2BF2"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opracowania dokumentacji powykonawczego wdrożonego rozwiązania.</w:t>
            </w:r>
          </w:p>
          <w:p w14:paraId="27E1CC57"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 xml:space="preserve">Oferent w zakresie przedmiotu zamówienia musi uwzględnić czas pracy inżyniera, na potrzeby uruchomienia urządzenia w siedzibie Zamawiającego. </w:t>
            </w:r>
          </w:p>
          <w:p w14:paraId="1C68EEE3"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Prace instalacyjne i wdrożeniowe muszą być zrealizowane w siedzibie Zamawiającego. Nie dopuszcza się pracy zdalnej.</w:t>
            </w:r>
          </w:p>
          <w:p w14:paraId="00A146AC"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 xml:space="preserve">Z uwagi na typ pracy urzędu, wykonywane prace nie mogą powodować problemów w dostępności do systemu komputerowego Zamawiającego. </w:t>
            </w:r>
          </w:p>
          <w:p w14:paraId="7E16B21D" w14:textId="26D1294C" w:rsidR="00E84A02"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w zakresie wdrożonego rozwiązania w wymiarze łącznie minimum 8 godzin dla całości przedmiotu zamówienia, w siedzibie Zamawiającego.</w:t>
            </w:r>
          </w:p>
          <w:p w14:paraId="47BBFACC" w14:textId="77777777" w:rsidR="003B495C" w:rsidRPr="00114AB0" w:rsidRDefault="003B495C">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lang w:val="pl-PL"/>
              </w:rPr>
            </w:pPr>
            <w:r>
              <w:rPr>
                <w:rFonts w:ascii="Calibri" w:eastAsia="Aptos" w:hAnsi="Calibri" w:cs="Calibri"/>
                <w:color w:val="000000"/>
                <w:sz w:val="20"/>
                <w:szCs w:val="20"/>
                <w:lang w:val="pl-PL"/>
              </w:rPr>
              <w:t>Zamawiający zaleca, aby Wykonawca stosował zasady bezpieczeństwa informacji adekwatne do przedmiotu zamówienia.</w:t>
            </w:r>
          </w:p>
          <w:p w14:paraId="75E00C03" w14:textId="11912C1E" w:rsidR="003B495C" w:rsidRPr="0010364F" w:rsidRDefault="003B495C" w:rsidP="003B495C">
            <w:pPr>
              <w:pBdr>
                <w:top w:val="nil"/>
                <w:left w:val="nil"/>
                <w:bottom w:val="nil"/>
                <w:right w:val="nil"/>
                <w:between w:val="nil"/>
              </w:pBdr>
              <w:spacing w:line="276" w:lineRule="auto"/>
              <w:ind w:left="437"/>
              <w:jc w:val="both"/>
              <w:rPr>
                <w:rFonts w:ascii="Calibri" w:eastAsia="Aptos" w:hAnsi="Calibri" w:cs="Calibri"/>
                <w:color w:val="000000"/>
                <w:sz w:val="20"/>
                <w:szCs w:val="20"/>
              </w:rPr>
            </w:pPr>
            <w:r>
              <w:rPr>
                <w:rFonts w:ascii="Calibri" w:eastAsia="Aptos" w:hAnsi="Calibri" w:cs="Calibri"/>
                <w:color w:val="000000"/>
                <w:sz w:val="20"/>
                <w:szCs w:val="20"/>
                <w:lang w:val="pl-PL"/>
              </w:rPr>
              <w:lastRenderedPageBreak/>
              <w:t>Na potwierdzenie spełnienia warunku Wykonawca złoży oświadczenie o stosowaniu zasad bezpieczeństwa informacji w zakresie odpowiadającym przedmiotowi zamówienia.</w:t>
            </w:r>
          </w:p>
        </w:tc>
      </w:tr>
      <w:tr w:rsidR="00E84A02" w:rsidRPr="0010364F" w14:paraId="4A22CDF7" w14:textId="77777777" w:rsidTr="0010364F">
        <w:tc>
          <w:tcPr>
            <w:tcW w:w="1844" w:type="dxa"/>
          </w:tcPr>
          <w:p w14:paraId="59143382" w14:textId="77777777" w:rsidR="00E84A02" w:rsidRPr="0010364F" w:rsidRDefault="00E84A02" w:rsidP="009421E4">
            <w:pPr>
              <w:spacing w:line="276" w:lineRule="auto"/>
              <w:rPr>
                <w:rFonts w:ascii="Calibri" w:eastAsia="Aptos" w:hAnsi="Calibri" w:cs="Calibri"/>
                <w:b/>
                <w:sz w:val="20"/>
                <w:szCs w:val="20"/>
                <w:highlight w:val="magenta"/>
              </w:rPr>
            </w:pPr>
            <w:r>
              <w:rPr>
                <w:rFonts w:ascii="Calibri" w:eastAsia="Aptos" w:hAnsi="Calibri" w:cs="Calibri"/>
                <w:b/>
                <w:sz w:val="20"/>
                <w:szCs w:val="20"/>
              </w:rPr>
              <w:lastRenderedPageBreak/>
              <w:t>Wdrożenie domeny AD</w:t>
            </w:r>
          </w:p>
        </w:tc>
        <w:tc>
          <w:tcPr>
            <w:tcW w:w="8079" w:type="dxa"/>
          </w:tcPr>
          <w:p w14:paraId="7708E162"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Instalacja oraz uruchomienie systemu operacyjnego na serwerze wraz z uruchomieniem roli domenowej.</w:t>
            </w:r>
          </w:p>
          <w:p w14:paraId="2ABB60AB"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Utworzenie domeny.</w:t>
            </w:r>
          </w:p>
          <w:p w14:paraId="71784188"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Utworzenie schematu organizacyjnego.</w:t>
            </w:r>
          </w:p>
          <w:p w14:paraId="2D76EE33"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Utworzenie kont użytkowników.</w:t>
            </w:r>
          </w:p>
          <w:p w14:paraId="469CF4AA"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Utworzenie folderów udostępnionych.</w:t>
            </w:r>
          </w:p>
          <w:p w14:paraId="0E630B4E" w14:textId="08F7FDE0"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Dołączenie do AD użytkowników (26 szt.) oraz stacje robocze (26 szt.) i serwery.</w:t>
            </w:r>
          </w:p>
          <w:p w14:paraId="08B5783F"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Nadanie uprawnień do folderów po wcześniejszym uzgodnieniu macierzy uprawnień.</w:t>
            </w:r>
          </w:p>
          <w:p w14:paraId="34D2B240"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Opracowanie oraz konfiguracja polityki zabezpieczeń.</w:t>
            </w:r>
          </w:p>
          <w:p w14:paraId="120CFEEB"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Konfiguracja kopii bezpieczeństwa.</w:t>
            </w:r>
          </w:p>
          <w:p w14:paraId="179C43A8"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Instalacja drukarek – dostosowanie obecnie użytkowanych drukarek do potrzeb współpracy ze środowiskiem domenowym.</w:t>
            </w:r>
          </w:p>
          <w:p w14:paraId="60DC460B"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 xml:space="preserve">Podłączenie komputerów do utworzonej domeny – proces wykonywany etapowo (podłączenie nowych urządzeń oraz zmiana konfiguracji obecnie użytkowanych celem dołączenia do domeny). </w:t>
            </w:r>
          </w:p>
          <w:p w14:paraId="7D77EECE" w14:textId="77777777" w:rsidR="00E84A02" w:rsidRPr="0010364F" w:rsidRDefault="00E84A02">
            <w:pPr>
              <w:numPr>
                <w:ilvl w:val="0"/>
                <w:numId w:val="6"/>
              </w:numP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Dokumentowanie wykonanych prac.</w:t>
            </w:r>
          </w:p>
          <w:p w14:paraId="7D115ABB"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Prace instalacyjne i wdrożeniowe muszą być zrealizowane w siedzibie Zamawiającego. Nie dopuszcza się pracy zdalnej.</w:t>
            </w:r>
          </w:p>
          <w:p w14:paraId="1DD2A88E" w14:textId="4129FF58"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(w ramach łącznego wymiaru instruktażu, o którym mowa w części dotyczącej instalacji i wdrożenia serwera) w siedzibie Zamawiającego.</w:t>
            </w:r>
          </w:p>
          <w:p w14:paraId="3599035D" w14:textId="77777777" w:rsidR="00E84A02" w:rsidRPr="0010364F" w:rsidRDefault="00E84A02">
            <w:pPr>
              <w:numPr>
                <w:ilvl w:val="0"/>
                <w:numId w:val="6"/>
              </w:numPr>
              <w:pBdr>
                <w:top w:val="nil"/>
                <w:left w:val="nil"/>
                <w:bottom w:val="nil"/>
                <w:right w:val="nil"/>
                <w:between w:val="nil"/>
              </w:pBdr>
              <w:spacing w:line="276" w:lineRule="auto"/>
              <w:jc w:val="both"/>
              <w:rPr>
                <w:rFonts w:ascii="Calibri" w:eastAsia="Aptos" w:hAnsi="Calibri" w:cs="Calibri"/>
                <w:color w:val="000000"/>
                <w:sz w:val="20"/>
                <w:szCs w:val="20"/>
              </w:rPr>
            </w:pPr>
            <w:r>
              <w:rPr>
                <w:rFonts w:ascii="Calibri" w:eastAsia="Aptos" w:hAnsi="Calibri" w:cs="Calibri"/>
                <w:color w:val="000000"/>
                <w:sz w:val="20"/>
                <w:szCs w:val="20"/>
              </w:rPr>
              <w:t>Instruktaż stanowiskowy pracowników Zamawiającego w siedzibie Zamawiającego (zasady funkcjonowania AD, zasady współdzielenia zasobów).</w:t>
            </w:r>
          </w:p>
        </w:tc>
      </w:tr>
    </w:tbl>
    <w:p w14:paraId="1ADC4D95" w14:textId="77777777" w:rsidR="00E84A02" w:rsidRDefault="00E84A02" w:rsidP="00CE6F22"/>
    <w:p w14:paraId="2A2AB0D7" w14:textId="6BA13658" w:rsidR="00750711" w:rsidRDefault="006D749C" w:rsidP="00750711">
      <w:pPr>
        <w:pStyle w:val="Nagwek2"/>
        <w:numPr>
          <w:ilvl w:val="0"/>
          <w:numId w:val="1"/>
        </w:numPr>
        <w:rPr>
          <w:rFonts w:cs="Calibri"/>
        </w:rPr>
      </w:pPr>
      <w:bookmarkStart w:id="4" w:name="_Toc229478307"/>
      <w:r>
        <w:rPr>
          <w:rFonts w:cs="Calibri"/>
        </w:rPr>
        <w:t>Dostawa i instalacja macierzy dyskowej NAS – 1 szt.</w:t>
      </w:r>
      <w:bookmarkEnd w:id="4"/>
      <w:r>
        <w:rPr>
          <w:rFonts w:cs="Calibri"/>
        </w:rPr>
        <w:tab/>
      </w:r>
      <w:r>
        <w:rPr>
          <w:rFonts w:cs="Calibri"/>
        </w:rPr>
        <w:tab/>
      </w:r>
      <w:r>
        <w:rPr>
          <w:rFonts w:cs="Calibri"/>
        </w:rPr>
        <w:tab/>
      </w:r>
    </w:p>
    <w:p w14:paraId="4BD05AFD" w14:textId="77777777" w:rsidR="00750711" w:rsidRPr="00750711" w:rsidRDefault="00750711" w:rsidP="00750711">
      <w:pPr>
        <w:rPr>
          <w:rFonts w:cs="Calibri"/>
          <w:lang w:val="pl-PL"/>
        </w:rPr>
      </w:pPr>
    </w:p>
    <w:tbl>
      <w:tblPr>
        <w:tblW w:w="9923" w:type="dxa"/>
        <w:tblInd w:w="-289" w:type="dxa"/>
        <w:tblLayout w:type="fixed"/>
        <w:tblLook w:val="0400" w:firstRow="0" w:lastRow="0" w:firstColumn="0" w:lastColumn="0" w:noHBand="0" w:noVBand="1"/>
      </w:tblPr>
      <w:tblGrid>
        <w:gridCol w:w="1844"/>
        <w:gridCol w:w="8079"/>
      </w:tblGrid>
      <w:tr w:rsidR="00750711" w:rsidRPr="004070DB" w14:paraId="5D061758" w14:textId="77777777" w:rsidTr="004070DB">
        <w:trPr>
          <w:trHeight w:val="643"/>
        </w:trPr>
        <w:tc>
          <w:tcPr>
            <w:tcW w:w="184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hideMark/>
          </w:tcPr>
          <w:p w14:paraId="133F6A70" w14:textId="3FC3AA12" w:rsidR="00750711" w:rsidRPr="004070DB" w:rsidRDefault="00750711" w:rsidP="004070DB">
            <w:pPr>
              <w:spacing w:line="276" w:lineRule="auto"/>
              <w:rPr>
                <w:rFonts w:ascii="Calibri" w:eastAsiaTheme="majorEastAsia" w:hAnsi="Calibri" w:cs="Calibri"/>
                <w:sz w:val="20"/>
                <w:szCs w:val="20"/>
                <w:lang w:val="pl-PL"/>
              </w:rPr>
            </w:pPr>
            <w:r>
              <w:rPr>
                <w:rFonts w:ascii="Calibri" w:eastAsia="Calibri" w:hAnsi="Calibri" w:cs="Calibri"/>
                <w:b/>
                <w:sz w:val="20"/>
                <w:szCs w:val="20"/>
              </w:rPr>
              <w:t>Nazwa komponentu</w:t>
            </w:r>
          </w:p>
        </w:tc>
        <w:tc>
          <w:tcPr>
            <w:tcW w:w="807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hideMark/>
          </w:tcPr>
          <w:p w14:paraId="02E3176B" w14:textId="1783C9BE" w:rsidR="00750711" w:rsidRPr="004070DB" w:rsidRDefault="00750711" w:rsidP="004070DB">
            <w:pPr>
              <w:spacing w:line="276" w:lineRule="auto"/>
              <w:rPr>
                <w:rFonts w:ascii="Calibri" w:hAnsi="Calibri" w:cs="Calibri"/>
                <w:sz w:val="20"/>
                <w:szCs w:val="20"/>
                <w:lang w:val="pl-PL"/>
              </w:rPr>
            </w:pPr>
            <w:r>
              <w:rPr>
                <w:rFonts w:ascii="Calibri" w:eastAsia="Calibri" w:hAnsi="Calibri" w:cs="Calibri"/>
                <w:b/>
                <w:sz w:val="20"/>
                <w:szCs w:val="20"/>
              </w:rPr>
              <w:t>Wymagane minimalne parametry techniczne</w:t>
            </w:r>
          </w:p>
        </w:tc>
      </w:tr>
      <w:tr w:rsidR="00750711" w:rsidRPr="004070DB" w14:paraId="5756B0A2"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4DBA8301"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Typ</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0740ADC2"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Sieciowy serwer plików NAS.</w:t>
            </w:r>
          </w:p>
        </w:tc>
      </w:tr>
      <w:tr w:rsidR="00750711" w:rsidRPr="004070DB" w14:paraId="3482E638"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3C329CB"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Obudowa</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61271CA6"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Wyposażona w komplet szyn umożliwiających instalację w szafie RACK, wysokość obudowy maksymalnie 2U.</w:t>
            </w:r>
          </w:p>
        </w:tc>
      </w:tr>
      <w:tr w:rsidR="00750711" w:rsidRPr="004070DB" w14:paraId="1053F287"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1CC6CAFD"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Procesor</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1165FAD2" w14:textId="55613197" w:rsidR="00750711" w:rsidRPr="004070DB" w:rsidRDefault="004070DB"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Procesor 64-bitowy, minimum 4-rdzeniowy, taktowanie min. 1,7 GHz, architektura ARM lub x86”</w:t>
            </w:r>
          </w:p>
        </w:tc>
      </w:tr>
      <w:tr w:rsidR="00750711" w:rsidRPr="004070DB" w14:paraId="2FE75217"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7F8BED45"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Pamięć RAM</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361A742A"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 4 GB UDIMM DDR4.</w:t>
            </w:r>
          </w:p>
        </w:tc>
      </w:tr>
      <w:tr w:rsidR="00750711" w:rsidRPr="004070DB" w14:paraId="6E2DC96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5845063C"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Pamięć flash</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6B0D0961"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512 MB</w:t>
            </w:r>
          </w:p>
        </w:tc>
      </w:tr>
      <w:tr w:rsidR="00750711" w:rsidRPr="004070DB" w14:paraId="5C876E2A"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6D94FF63"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Kompatybilność dysków</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08165A0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Kompatybilność dysków 3,5-calowe wnęki: 3,5-calowe dyski twarde SATA 2,5-calowe dyski twarde SATA 2,5-calowe dyski SSD SATA. Zainstalowane dyski muszą znajdować się na liście kompatybilnych urządzeń publikowanej przez producenta serwera NAS.</w:t>
            </w:r>
          </w:p>
        </w:tc>
      </w:tr>
      <w:tr w:rsidR="00750711" w:rsidRPr="00F47E12" w14:paraId="463BDE81"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529A3BFD"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lastRenderedPageBreak/>
              <w:t>Interfejsy sieciowe</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01FC46FC" w14:textId="77777777" w:rsidR="00750711" w:rsidRPr="004070DB" w:rsidRDefault="00750711" w:rsidP="004070DB">
            <w:pPr>
              <w:spacing w:line="276" w:lineRule="auto"/>
              <w:rPr>
                <w:rFonts w:ascii="Calibri" w:eastAsia="Calibri" w:hAnsi="Calibri" w:cs="Calibri"/>
                <w:sz w:val="20"/>
                <w:szCs w:val="20"/>
                <w:lang w:val="en-US"/>
              </w:rPr>
            </w:pPr>
            <w:r>
              <w:rPr>
                <w:rFonts w:ascii="Calibri" w:eastAsia="Calibri" w:hAnsi="Calibri" w:cs="Calibri"/>
                <w:sz w:val="20"/>
                <w:szCs w:val="20"/>
                <w:lang w:val="en-US"/>
              </w:rPr>
              <w:t>Min.2 x 2,5 Gigabit Ethernet (2,5G/1G/100M/10M), Port 10 Gigabit sieci Ethernet.</w:t>
            </w:r>
          </w:p>
        </w:tc>
      </w:tr>
      <w:tr w:rsidR="00750711" w:rsidRPr="004070DB" w14:paraId="70BA9B60"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01D3D41C"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Złącza dodatkowe</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367CE71A"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 2 porty USB 3.2 Gen 1, min. 1 gniazdo PCIe Gen 2.</w:t>
            </w:r>
          </w:p>
        </w:tc>
      </w:tr>
      <w:tr w:rsidR="00750711" w:rsidRPr="004070DB" w14:paraId="532AFAD9"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41E794EE"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Szyfrowanie</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6C494D65" w14:textId="20651876" w:rsidR="00750711" w:rsidRPr="004070DB" w:rsidRDefault="004070DB" w:rsidP="004070DB">
            <w:pPr>
              <w:spacing w:line="276" w:lineRule="auto"/>
              <w:rPr>
                <w:rFonts w:ascii="Calibri" w:eastAsia="Calibri" w:hAnsi="Calibri" w:cs="Calibri"/>
                <w:sz w:val="20"/>
                <w:szCs w:val="20"/>
                <w:lang w:val="pl-PL"/>
              </w:rPr>
            </w:pPr>
            <w:r>
              <w:rPr>
                <w:rFonts w:ascii="Calibri" w:eastAsia="Calibri" w:hAnsi="Calibri" w:cs="Calibri"/>
                <w:sz w:val="20"/>
                <w:szCs w:val="20"/>
              </w:rPr>
              <w:t>Sprzętowe wsparcie szyfrowania AES.</w:t>
            </w:r>
          </w:p>
        </w:tc>
      </w:tr>
      <w:tr w:rsidR="00750711" w:rsidRPr="004070DB" w14:paraId="0BA55970"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2E64B0C"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Tryby RAID</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47D9DAA2"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RAID 0, 1, 5, 6 ,10, + hotspare.</w:t>
            </w:r>
          </w:p>
        </w:tc>
      </w:tr>
      <w:tr w:rsidR="00750711" w:rsidRPr="004070DB" w14:paraId="55B9534E"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6164D655"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Zasilanie</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747F6101"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Zasilacz o mocy 250 W PSU, 100–240 V.</w:t>
            </w:r>
          </w:p>
        </w:tc>
      </w:tr>
      <w:tr w:rsidR="00750711" w:rsidRPr="004070DB" w14:paraId="6EA00068"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41BDBF9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Certyfikaty</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71B6623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Producent serwera NAS musi posiadać certyfikat jakości według normy ISO 9001 na produkcję oferowanego asortymentu lub równoważny certyfikat jakości oraz certyfikat według normy ISO 14001 Systemu Zarządzania Środowiskowego lub równoważną normę zarządzania środowiskowego.</w:t>
            </w:r>
          </w:p>
          <w:p w14:paraId="7A90C3E1" w14:textId="77777777" w:rsidR="004070DB" w:rsidRPr="004070DB" w:rsidRDefault="004070DB" w:rsidP="004070DB">
            <w:pPr>
              <w:spacing w:line="276" w:lineRule="auto"/>
              <w:rPr>
                <w:rFonts w:ascii="Calibri" w:eastAsia="Calibri" w:hAnsi="Calibri" w:cs="Calibri"/>
                <w:sz w:val="20"/>
                <w:szCs w:val="20"/>
                <w:lang w:val="pl-PL"/>
              </w:rPr>
            </w:pPr>
          </w:p>
          <w:p w14:paraId="489DA34E" w14:textId="7F061F65" w:rsidR="004070DB" w:rsidRPr="004070DB" w:rsidRDefault="004070DB" w:rsidP="004070DB">
            <w:pPr>
              <w:spacing w:line="276" w:lineRule="auto"/>
              <w:rPr>
                <w:rFonts w:ascii="Calibri" w:eastAsia="Calibri" w:hAnsi="Calibri" w:cs="Calibri"/>
                <w:sz w:val="20"/>
                <w:szCs w:val="20"/>
                <w:lang w:val="pl-PL"/>
              </w:rPr>
            </w:pPr>
          </w:p>
          <w:p w14:paraId="628EBD94" w14:textId="28EF6D8A" w:rsidR="004070DB" w:rsidRPr="004070DB" w:rsidRDefault="004070DB" w:rsidP="004070DB">
            <w:pPr>
              <w:spacing w:line="276" w:lineRule="auto"/>
              <w:rPr>
                <w:rFonts w:ascii="Calibri" w:eastAsia="Calibri" w:hAnsi="Calibri" w:cs="Calibri"/>
                <w:sz w:val="20"/>
                <w:szCs w:val="20"/>
                <w:lang w:val="pl-PL"/>
              </w:rPr>
            </w:pPr>
          </w:p>
          <w:p w14:paraId="45F54D37" w14:textId="543B3641" w:rsidR="004070DB" w:rsidRPr="004070DB" w:rsidRDefault="004070DB" w:rsidP="004070DB">
            <w:pPr>
              <w:spacing w:line="276" w:lineRule="auto"/>
              <w:rPr>
                <w:rFonts w:ascii="Calibri" w:eastAsia="Calibri" w:hAnsi="Calibri" w:cs="Calibri"/>
                <w:sz w:val="20"/>
                <w:szCs w:val="20"/>
                <w:lang w:val="pl-PL"/>
              </w:rPr>
            </w:pPr>
          </w:p>
        </w:tc>
      </w:tr>
      <w:tr w:rsidR="00750711" w:rsidRPr="004070DB" w14:paraId="4DB4B439"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0B3C9649"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Gwarancja</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2E5E35C7"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Minimum 3 lat gwarancji.</w:t>
            </w:r>
          </w:p>
          <w:p w14:paraId="6F41E32A"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Firma serwisująca musi posiadać certyfikat jakości według normy ISO 9001 na świadczenie usług serwisowych lub równoważny certyfikat jakości oraz posiadać autoryzację producenta oferowanego asortymentu.</w:t>
            </w:r>
          </w:p>
        </w:tc>
      </w:tr>
      <w:tr w:rsidR="00750711" w:rsidRPr="004070DB" w14:paraId="5D861B45"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2872D33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Dokumentacja</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581CA22A"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Zamawiający wymaga dokumentacji w języku polskim lub angielskim, w formie elektronicznej.</w:t>
            </w:r>
          </w:p>
        </w:tc>
      </w:tr>
      <w:tr w:rsidR="00750711" w:rsidRPr="004070DB" w14:paraId="7971D364" w14:textId="77777777" w:rsidTr="004070DB">
        <w:trPr>
          <w:trHeight w:val="745"/>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hideMark/>
          </w:tcPr>
          <w:p w14:paraId="7CD10320" w14:textId="77777777" w:rsidR="00750711" w:rsidRPr="004070DB" w:rsidRDefault="00750711" w:rsidP="004070DB">
            <w:pPr>
              <w:spacing w:line="276" w:lineRule="auto"/>
              <w:rPr>
                <w:rFonts w:ascii="Calibri" w:eastAsia="Calibri" w:hAnsi="Calibri" w:cs="Calibri"/>
                <w:b/>
                <w:bCs/>
                <w:sz w:val="20"/>
                <w:szCs w:val="20"/>
                <w:lang w:val="pl-PL"/>
              </w:rPr>
            </w:pPr>
            <w:r>
              <w:rPr>
                <w:rFonts w:ascii="Calibri" w:eastAsia="Calibri" w:hAnsi="Calibri" w:cs="Calibri"/>
                <w:b/>
                <w:bCs/>
                <w:sz w:val="20"/>
                <w:szCs w:val="20"/>
                <w:lang w:val="pl-PL"/>
              </w:rPr>
              <w:t>Wraz z sieciowym serwerem plików NAS należy dostarczyć 8 szt. kompatybilnych dysków spełniających poniższe parametry techniczne:</w:t>
            </w:r>
          </w:p>
        </w:tc>
      </w:tr>
      <w:tr w:rsidR="00750711" w:rsidRPr="004070DB" w14:paraId="5A3909B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1EC78B68"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Pojemność</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683BD3CB"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Minimum 8 TB</w:t>
            </w:r>
          </w:p>
        </w:tc>
      </w:tr>
      <w:tr w:rsidR="00750711" w:rsidRPr="004070DB" w14:paraId="1CB6E969"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593735DB"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Format</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3619F41E"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3.5’</w:t>
            </w:r>
          </w:p>
        </w:tc>
      </w:tr>
      <w:tr w:rsidR="00750711" w:rsidRPr="004070DB" w14:paraId="3411FEF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02511B3"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Interfejs</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1924CE7B"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SATA 6Gb/s</w:t>
            </w:r>
          </w:p>
        </w:tc>
      </w:tr>
      <w:tr w:rsidR="00750711" w:rsidRPr="004070DB" w14:paraId="06529ED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16FA2CD"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Prędkość obrotowa</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22C54E1E"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Minimum 7200 rpm</w:t>
            </w:r>
          </w:p>
        </w:tc>
      </w:tr>
      <w:tr w:rsidR="00750711" w:rsidRPr="004070DB" w14:paraId="34E2E24E"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2AA4F5C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Pamięć podręczna cache</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15749773"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Minimum 256 MB</w:t>
            </w:r>
          </w:p>
        </w:tc>
      </w:tr>
      <w:tr w:rsidR="00750711" w:rsidRPr="004070DB" w14:paraId="6EE1881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7F10A7C5"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Prędkość odczytu</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3D011DD0"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Maksymalna 210 MB/s</w:t>
            </w:r>
          </w:p>
        </w:tc>
      </w:tr>
      <w:tr w:rsidR="00750711" w:rsidRPr="004070DB" w14:paraId="55B5EA52"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5D2F61F4"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lastRenderedPageBreak/>
              <w:t>Niezawodność MTBF</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7DCDA813"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1 000 000 godz.</w:t>
            </w:r>
          </w:p>
        </w:tc>
      </w:tr>
      <w:tr w:rsidR="00750711" w:rsidRPr="004070DB" w14:paraId="79CB033A"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3EEB2AB9"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Dodatkowo</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5ED2DA5D"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Technologia zapisu CMR</w:t>
            </w:r>
          </w:p>
          <w:p w14:paraId="5A1015D9"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Zwiększona odporność na drgania</w:t>
            </w:r>
          </w:p>
          <w:p w14:paraId="36230D89"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Zgodność z systemami NAS</w:t>
            </w:r>
          </w:p>
        </w:tc>
      </w:tr>
      <w:tr w:rsidR="00750711" w:rsidRPr="004070DB" w14:paraId="4897303B"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hideMark/>
          </w:tcPr>
          <w:p w14:paraId="50E30495"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Gwarancja</w:t>
            </w:r>
          </w:p>
        </w:tc>
        <w:tc>
          <w:tcPr>
            <w:tcW w:w="8079" w:type="dxa"/>
            <w:tcBorders>
              <w:top w:val="single" w:sz="4" w:space="0" w:color="000000"/>
              <w:left w:val="single" w:sz="4" w:space="0" w:color="000000"/>
              <w:bottom w:val="single" w:sz="4" w:space="0" w:color="000000"/>
              <w:right w:val="single" w:sz="4" w:space="0" w:color="000000"/>
            </w:tcBorders>
            <w:vAlign w:val="center"/>
            <w:hideMark/>
          </w:tcPr>
          <w:p w14:paraId="3033A6EA" w14:textId="77777777" w:rsidR="00750711" w:rsidRPr="004070DB" w:rsidRDefault="00750711" w:rsidP="004070DB">
            <w:pPr>
              <w:spacing w:line="276" w:lineRule="auto"/>
              <w:rPr>
                <w:rFonts w:ascii="Calibri" w:eastAsia="Calibri" w:hAnsi="Calibri" w:cs="Calibri"/>
                <w:sz w:val="20"/>
                <w:szCs w:val="20"/>
                <w:lang w:val="pl-PL"/>
              </w:rPr>
            </w:pPr>
            <w:r>
              <w:rPr>
                <w:rFonts w:ascii="Calibri" w:eastAsia="Calibri" w:hAnsi="Calibri" w:cs="Calibri"/>
                <w:sz w:val="20"/>
                <w:szCs w:val="20"/>
                <w:lang w:val="pl-PL"/>
              </w:rPr>
              <w:t>Minimum 36 miesięcy</w:t>
            </w:r>
          </w:p>
        </w:tc>
      </w:tr>
      <w:tr w:rsidR="004070DB" w:rsidRPr="004070DB" w14:paraId="21C2AB4A" w14:textId="77777777" w:rsidTr="004070DB">
        <w:trPr>
          <w:trHeight w:val="745"/>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14:paraId="3E2EBAD7" w14:textId="3E03EB5C" w:rsidR="004070DB" w:rsidRPr="004070DB" w:rsidRDefault="004070DB" w:rsidP="004070DB">
            <w:pPr>
              <w:spacing w:line="276" w:lineRule="auto"/>
              <w:rPr>
                <w:rFonts w:ascii="Calibri" w:eastAsia="Calibri" w:hAnsi="Calibri" w:cs="Calibri"/>
                <w:sz w:val="20"/>
                <w:szCs w:val="20"/>
                <w:lang w:val="pl-PL"/>
              </w:rPr>
            </w:pPr>
            <w:r>
              <w:rPr>
                <w:rFonts w:ascii="Calibri" w:eastAsia="Calibri" w:hAnsi="Calibri" w:cs="Calibri"/>
                <w:b/>
                <w:bCs/>
                <w:sz w:val="20"/>
                <w:szCs w:val="20"/>
                <w:lang w:val="pl-PL"/>
              </w:rPr>
              <w:t>Instalacja i wdrożenie</w:t>
            </w:r>
          </w:p>
        </w:tc>
      </w:tr>
      <w:tr w:rsidR="004070DB" w:rsidRPr="004070DB" w14:paraId="269510E0"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tcPr>
          <w:p w14:paraId="4ABC3333" w14:textId="1F58EBC9" w:rsidR="004070DB" w:rsidRPr="004070DB" w:rsidRDefault="004070DB" w:rsidP="004070DB">
            <w:pPr>
              <w:spacing w:line="276" w:lineRule="auto"/>
              <w:rPr>
                <w:rFonts w:ascii="Calibri" w:eastAsia="Calibri" w:hAnsi="Calibri" w:cs="Calibri"/>
                <w:sz w:val="20"/>
                <w:szCs w:val="20"/>
                <w:lang w:val="pl-PL"/>
              </w:rPr>
            </w:pPr>
            <w:r>
              <w:rPr>
                <w:rFonts w:ascii="Calibri" w:eastAsia="Calibri" w:hAnsi="Calibri" w:cs="Calibri"/>
                <w:sz w:val="20"/>
                <w:szCs w:val="20"/>
              </w:rPr>
              <w:t>Zakres prac</w:t>
            </w:r>
          </w:p>
        </w:tc>
        <w:tc>
          <w:tcPr>
            <w:tcW w:w="8079" w:type="dxa"/>
            <w:tcBorders>
              <w:top w:val="single" w:sz="4" w:space="0" w:color="000000"/>
              <w:left w:val="single" w:sz="4" w:space="0" w:color="000000"/>
              <w:bottom w:val="single" w:sz="4" w:space="0" w:color="000000"/>
              <w:right w:val="single" w:sz="4" w:space="0" w:color="000000"/>
            </w:tcBorders>
            <w:vAlign w:val="center"/>
          </w:tcPr>
          <w:p w14:paraId="100E7EB1" w14:textId="62010D2C" w:rsidR="004070DB" w:rsidRPr="004070DB" w:rsidRDefault="004070DB" w:rsidP="004070DB">
            <w:pPr>
              <w:spacing w:line="276" w:lineRule="auto"/>
              <w:rPr>
                <w:rFonts w:ascii="Calibri" w:eastAsia="Calibri" w:hAnsi="Calibri" w:cs="Calibri"/>
                <w:sz w:val="20"/>
                <w:szCs w:val="20"/>
                <w:lang w:val="pl-PL"/>
              </w:rPr>
            </w:pPr>
            <w:r>
              <w:rPr>
                <w:rFonts w:ascii="Calibri" w:eastAsia="Calibri" w:hAnsi="Calibri" w:cs="Calibri"/>
                <w:sz w:val="20"/>
                <w:szCs w:val="20"/>
              </w:rPr>
              <w:t>W ramach realizacji przedmiotu zamówienia Wykonawca zobowiązany jest do:</w:t>
            </w:r>
          </w:p>
          <w:p w14:paraId="25830797" w14:textId="2A7971C6"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dostawy urządzeń do siedziby Zamawiającego,</w:t>
            </w:r>
          </w:p>
          <w:p w14:paraId="2EC6FD9B" w14:textId="7D5BBA1B"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montażu urządzeń w szafie RACK,</w:t>
            </w:r>
          </w:p>
          <w:p w14:paraId="22FBDD4E" w14:textId="2933187F"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podłączenia do sieci energetycznej oraz logicznej,</w:t>
            </w:r>
          </w:p>
          <w:p w14:paraId="3365C371" w14:textId="481FD81A"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aktualizacji firmware do najnowszej stabilnej wersji dostępnej na dzień instalacji,</w:t>
            </w:r>
          </w:p>
          <w:p w14:paraId="6207922D" w14:textId="07BFC20C"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konfiguracji podstawowych parametrów pracy urządzeń,</w:t>
            </w:r>
          </w:p>
          <w:p w14:paraId="577FB72A" w14:textId="2C215CC0"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konfiguracji macierzy dyskowej oraz przestrzeni współdzielonej,</w:t>
            </w:r>
          </w:p>
          <w:p w14:paraId="4B689F50" w14:textId="3507DBA0"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konfiguracji kopii zapasowych środowiska zgodnie z uzgodnionymi z Zamawiającym założeniami,</w:t>
            </w:r>
          </w:p>
          <w:p w14:paraId="07B49735" w14:textId="58DE4793" w:rsidR="004070DB" w:rsidRPr="004070DB" w:rsidRDefault="004070DB">
            <w:pPr>
              <w:pStyle w:val="Akapitzlist"/>
              <w:numPr>
                <w:ilvl w:val="0"/>
                <w:numId w:val="20"/>
              </w:numPr>
              <w:spacing w:line="276" w:lineRule="auto"/>
              <w:rPr>
                <w:rFonts w:ascii="Calibri" w:eastAsia="Calibri" w:hAnsi="Calibri" w:cs="Calibri"/>
                <w:sz w:val="20"/>
                <w:szCs w:val="20"/>
                <w:lang w:val="pl-PL"/>
              </w:rPr>
            </w:pPr>
            <w:r>
              <w:rPr>
                <w:rFonts w:ascii="Calibri" w:eastAsia="Calibri" w:hAnsi="Calibri" w:cs="Calibri"/>
                <w:sz w:val="20"/>
                <w:szCs w:val="20"/>
                <w:lang w:val="pl-PL"/>
              </w:rPr>
              <w:t>opracowania dokumentacji powykonawczej obejmującej konfigurację systemu.</w:t>
            </w:r>
          </w:p>
          <w:p w14:paraId="3104F76E" w14:textId="77777777" w:rsidR="004070DB" w:rsidRPr="004070DB" w:rsidRDefault="004070DB" w:rsidP="004070DB">
            <w:pPr>
              <w:spacing w:line="276" w:lineRule="auto"/>
              <w:rPr>
                <w:rFonts w:ascii="Calibri" w:eastAsia="Calibri" w:hAnsi="Calibri" w:cs="Calibri"/>
                <w:sz w:val="20"/>
                <w:szCs w:val="20"/>
                <w:lang w:val="pl-PL"/>
              </w:rPr>
            </w:pPr>
          </w:p>
        </w:tc>
      </w:tr>
      <w:tr w:rsidR="004070DB" w:rsidRPr="004070DB" w14:paraId="795DA1B4" w14:textId="77777777" w:rsidTr="004070DB">
        <w:trPr>
          <w:trHeight w:val="745"/>
        </w:trPr>
        <w:tc>
          <w:tcPr>
            <w:tcW w:w="1844" w:type="dxa"/>
            <w:tcBorders>
              <w:top w:val="single" w:sz="4" w:space="0" w:color="000000"/>
              <w:left w:val="single" w:sz="4" w:space="0" w:color="000000"/>
              <w:bottom w:val="single" w:sz="4" w:space="0" w:color="000000"/>
              <w:right w:val="single" w:sz="4" w:space="0" w:color="000000"/>
            </w:tcBorders>
            <w:vAlign w:val="center"/>
          </w:tcPr>
          <w:p w14:paraId="193A2A34" w14:textId="77777777" w:rsidR="004070DB" w:rsidRPr="004070DB" w:rsidRDefault="004070DB" w:rsidP="004070DB">
            <w:pPr>
              <w:spacing w:line="276" w:lineRule="auto"/>
              <w:rPr>
                <w:rFonts w:ascii="Calibri" w:eastAsia="Calibri" w:hAnsi="Calibri" w:cs="Calibri"/>
                <w:b/>
                <w:bCs/>
                <w:sz w:val="20"/>
                <w:szCs w:val="20"/>
                <w:lang w:val="pl-PL"/>
              </w:rPr>
            </w:pPr>
            <w:r>
              <w:rPr>
                <w:rFonts w:ascii="Calibri" w:eastAsia="Calibri" w:hAnsi="Calibri" w:cs="Calibri"/>
                <w:b/>
                <w:bCs/>
                <w:sz w:val="20"/>
                <w:szCs w:val="20"/>
                <w:lang w:val="pl-PL"/>
              </w:rPr>
              <w:t>Warunki realizacji prac</w:t>
            </w:r>
          </w:p>
          <w:p w14:paraId="25211276" w14:textId="77777777" w:rsidR="004070DB" w:rsidRPr="004070DB" w:rsidRDefault="004070DB" w:rsidP="004070DB">
            <w:pPr>
              <w:spacing w:line="276" w:lineRule="auto"/>
              <w:rPr>
                <w:rFonts w:ascii="Calibri" w:eastAsia="Calibri" w:hAnsi="Calibri" w:cs="Calibri"/>
                <w:sz w:val="20"/>
                <w:szCs w:val="20"/>
              </w:rPr>
            </w:pPr>
          </w:p>
        </w:tc>
        <w:tc>
          <w:tcPr>
            <w:tcW w:w="8079" w:type="dxa"/>
            <w:tcBorders>
              <w:top w:val="single" w:sz="4" w:space="0" w:color="000000"/>
              <w:left w:val="single" w:sz="4" w:space="0" w:color="000000"/>
              <w:bottom w:val="single" w:sz="4" w:space="0" w:color="000000"/>
              <w:right w:val="single" w:sz="4" w:space="0" w:color="000000"/>
            </w:tcBorders>
            <w:vAlign w:val="center"/>
          </w:tcPr>
          <w:p w14:paraId="23739632" w14:textId="77777777" w:rsidR="004070DB" w:rsidRPr="004070DB" w:rsidRDefault="004070DB">
            <w:pPr>
              <w:numPr>
                <w:ilvl w:val="0"/>
                <w:numId w:val="21"/>
              </w:numPr>
              <w:tabs>
                <w:tab w:val="num" w:pos="720"/>
              </w:tabs>
              <w:spacing w:line="276" w:lineRule="auto"/>
              <w:rPr>
                <w:rFonts w:ascii="Calibri" w:eastAsia="Calibri" w:hAnsi="Calibri" w:cs="Calibri"/>
                <w:sz w:val="20"/>
                <w:szCs w:val="20"/>
                <w:lang w:val="pl-PL"/>
              </w:rPr>
            </w:pPr>
            <w:r>
              <w:rPr>
                <w:rFonts w:ascii="Calibri" w:eastAsia="Calibri" w:hAnsi="Calibri" w:cs="Calibri"/>
                <w:sz w:val="20"/>
                <w:szCs w:val="20"/>
                <w:lang w:val="pl-PL"/>
              </w:rPr>
              <w:t>Prace instalacyjne i wdrożeniowe będą realizowane w siedzibie Zamawiającego.</w:t>
            </w:r>
          </w:p>
          <w:p w14:paraId="2455C12D" w14:textId="0335B40B" w:rsidR="004070DB" w:rsidRPr="004070DB" w:rsidRDefault="004070DB">
            <w:pPr>
              <w:numPr>
                <w:ilvl w:val="0"/>
                <w:numId w:val="21"/>
              </w:numPr>
              <w:tabs>
                <w:tab w:val="num" w:pos="720"/>
              </w:tabs>
              <w:spacing w:line="276" w:lineRule="auto"/>
              <w:rPr>
                <w:rFonts w:ascii="Calibri" w:eastAsia="Calibri" w:hAnsi="Calibri" w:cs="Calibri"/>
                <w:sz w:val="20"/>
                <w:szCs w:val="20"/>
                <w:lang w:val="pl-PL"/>
              </w:rPr>
            </w:pPr>
            <w:r>
              <w:rPr>
                <w:rFonts w:ascii="Calibri" w:eastAsia="Calibri" w:hAnsi="Calibri" w:cs="Calibri"/>
                <w:sz w:val="20"/>
                <w:szCs w:val="20"/>
                <w:lang w:val="pl-PL"/>
              </w:rPr>
              <w:t>Nie dopuszcza się pracy zdalnej.</w:t>
            </w:r>
          </w:p>
          <w:p w14:paraId="08E099FE" w14:textId="77777777" w:rsidR="004070DB" w:rsidRPr="004070DB" w:rsidRDefault="004070DB">
            <w:pPr>
              <w:numPr>
                <w:ilvl w:val="0"/>
                <w:numId w:val="21"/>
              </w:numPr>
              <w:tabs>
                <w:tab w:val="num" w:pos="720"/>
              </w:tabs>
              <w:spacing w:line="276" w:lineRule="auto"/>
              <w:rPr>
                <w:rFonts w:ascii="Calibri" w:eastAsia="Calibri" w:hAnsi="Calibri" w:cs="Calibri"/>
                <w:sz w:val="20"/>
                <w:szCs w:val="20"/>
                <w:lang w:val="pl-PL"/>
              </w:rPr>
            </w:pPr>
            <w:r>
              <w:rPr>
                <w:rFonts w:ascii="Calibri" w:eastAsia="Calibri" w:hAnsi="Calibri" w:cs="Calibri"/>
                <w:sz w:val="20"/>
                <w:szCs w:val="20"/>
                <w:lang w:val="pl-PL"/>
              </w:rPr>
              <w:t>Prace powodujące przerwy w dostępności systemów mogą być wykonywane wyłącznie w uzgodnionym z Zamawiającym oknie serwisowym.</w:t>
            </w:r>
          </w:p>
          <w:p w14:paraId="2B80530E" w14:textId="77777777" w:rsidR="004070DB" w:rsidRPr="004070DB" w:rsidRDefault="004070DB">
            <w:pPr>
              <w:numPr>
                <w:ilvl w:val="0"/>
                <w:numId w:val="21"/>
              </w:numPr>
              <w:tabs>
                <w:tab w:val="num" w:pos="720"/>
              </w:tabs>
              <w:spacing w:line="276" w:lineRule="auto"/>
              <w:rPr>
                <w:rFonts w:ascii="Calibri" w:eastAsia="Calibri" w:hAnsi="Calibri" w:cs="Calibri"/>
                <w:sz w:val="20"/>
                <w:szCs w:val="20"/>
                <w:lang w:val="pl-PL"/>
              </w:rPr>
            </w:pPr>
            <w:r>
              <w:rPr>
                <w:rFonts w:ascii="Calibri" w:eastAsia="Calibri" w:hAnsi="Calibri" w:cs="Calibri"/>
                <w:sz w:val="20"/>
                <w:szCs w:val="20"/>
                <w:lang w:val="pl-PL"/>
              </w:rPr>
              <w:t>Wykonawca zobowiązany jest uwzględnić w cenie oferty koszt pracy inżyniera niezbędny do pełnej realizacji wdrożenia.</w:t>
            </w:r>
          </w:p>
          <w:p w14:paraId="00CDFC88" w14:textId="77777777" w:rsidR="004070DB" w:rsidRPr="004070DB" w:rsidRDefault="004070DB" w:rsidP="004070DB">
            <w:pPr>
              <w:spacing w:line="276" w:lineRule="auto"/>
              <w:rPr>
                <w:rFonts w:ascii="Calibri" w:eastAsia="Calibri" w:hAnsi="Calibri" w:cs="Calibri"/>
                <w:sz w:val="20"/>
                <w:szCs w:val="20"/>
              </w:rPr>
            </w:pPr>
          </w:p>
        </w:tc>
      </w:tr>
    </w:tbl>
    <w:p w14:paraId="6B221D60" w14:textId="77777777" w:rsidR="00750711" w:rsidRPr="00750711" w:rsidRDefault="00750711" w:rsidP="00750711">
      <w:pPr>
        <w:rPr>
          <w:rFonts w:cs="Calibri"/>
          <w:lang w:val="pl-PL"/>
        </w:rPr>
      </w:pPr>
    </w:p>
    <w:p w14:paraId="000000F8" w14:textId="386139C6" w:rsidR="0044605B" w:rsidRPr="00750711" w:rsidRDefault="006D749C" w:rsidP="00750711">
      <w:pPr>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000014A" w14:textId="1FEE48BB" w:rsidR="0044605B" w:rsidRDefault="006D749C">
      <w:pPr>
        <w:pStyle w:val="Nagwek2"/>
        <w:numPr>
          <w:ilvl w:val="0"/>
          <w:numId w:val="1"/>
        </w:numPr>
        <w:rPr>
          <w:rFonts w:cs="Calibri"/>
        </w:rPr>
      </w:pPr>
      <w:bookmarkStart w:id="5" w:name="_Toc229478308"/>
      <w:r>
        <w:rPr>
          <w:rFonts w:cs="Calibri"/>
        </w:rPr>
        <w:t>Dostawa wraz z wdrożeniem systemu tworzenia i zarządzania kopiami zapasowymi – 1 szt.</w:t>
      </w:r>
      <w:bookmarkEnd w:id="5"/>
    </w:p>
    <w:p w14:paraId="560EC10E" w14:textId="77777777" w:rsidR="00E129E4" w:rsidRPr="00E129E4" w:rsidRDefault="00E129E4" w:rsidP="00E129E4"/>
    <w:tbl>
      <w:tblPr>
        <w:tblW w:w="9782" w:type="dxa"/>
        <w:tblInd w:w="-289" w:type="dxa"/>
        <w:tblLook w:val="01E0" w:firstRow="1" w:lastRow="1" w:firstColumn="1" w:lastColumn="1" w:noHBand="0" w:noVBand="0"/>
      </w:tblPr>
      <w:tblGrid>
        <w:gridCol w:w="2090"/>
        <w:gridCol w:w="7692"/>
      </w:tblGrid>
      <w:tr w:rsidR="00E129E4" w:rsidRPr="00E129E4" w14:paraId="09193BD2" w14:textId="77777777" w:rsidTr="00E129E4">
        <w:trPr>
          <w:trHeight w:val="624"/>
        </w:trPr>
        <w:tc>
          <w:tcPr>
            <w:tcW w:w="209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4CB6E2C1" w14:textId="77777777" w:rsidR="00E129E4" w:rsidRPr="00E129E4" w:rsidRDefault="00E129E4" w:rsidP="00E129E4">
            <w:pPr>
              <w:rPr>
                <w:rFonts w:ascii="Calibri" w:eastAsia="Calibri" w:hAnsi="Calibri" w:cs="Calibri"/>
                <w:b/>
                <w:sz w:val="20"/>
                <w:szCs w:val="20"/>
                <w:lang w:val="pl-PL"/>
              </w:rPr>
            </w:pPr>
            <w:r>
              <w:rPr>
                <w:rFonts w:ascii="Calibri" w:eastAsia="Calibri" w:hAnsi="Calibri" w:cs="Calibri"/>
                <w:b/>
                <w:sz w:val="20"/>
                <w:szCs w:val="20"/>
                <w:lang w:val="pl-PL"/>
              </w:rPr>
              <w:t>Komponent</w:t>
            </w:r>
          </w:p>
        </w:tc>
        <w:tc>
          <w:tcPr>
            <w:tcW w:w="7692"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1F25D2EB" w14:textId="77777777" w:rsidR="00E129E4" w:rsidRPr="00E129E4" w:rsidRDefault="00E129E4" w:rsidP="00E129E4">
            <w:pPr>
              <w:rPr>
                <w:rFonts w:ascii="Calibri" w:eastAsia="Calibri" w:hAnsi="Calibri" w:cs="Calibri"/>
                <w:b/>
                <w:sz w:val="20"/>
                <w:szCs w:val="20"/>
                <w:lang w:val="pl-PL"/>
              </w:rPr>
            </w:pPr>
            <w:r>
              <w:rPr>
                <w:rFonts w:ascii="Calibri" w:eastAsia="Calibri" w:hAnsi="Calibri" w:cs="Calibri"/>
                <w:b/>
                <w:sz w:val="20"/>
                <w:szCs w:val="20"/>
                <w:lang w:val="pl-PL"/>
              </w:rPr>
              <w:t>Wymagania minimalne parametry techniczne</w:t>
            </w:r>
          </w:p>
        </w:tc>
      </w:tr>
      <w:tr w:rsidR="00E129E4" w:rsidRPr="00E129E4" w14:paraId="735F5945" w14:textId="77777777" w:rsidTr="00E129E4">
        <w:tc>
          <w:tcPr>
            <w:tcW w:w="2090" w:type="dxa"/>
            <w:tcBorders>
              <w:top w:val="single" w:sz="4" w:space="0" w:color="auto"/>
              <w:left w:val="single" w:sz="4" w:space="0" w:color="auto"/>
              <w:bottom w:val="single" w:sz="4" w:space="0" w:color="auto"/>
              <w:right w:val="single" w:sz="4" w:space="0" w:color="auto"/>
            </w:tcBorders>
            <w:hideMark/>
          </w:tcPr>
          <w:p w14:paraId="28188E7A" w14:textId="77777777" w:rsidR="00E129E4" w:rsidRPr="00E129E4" w:rsidRDefault="00E129E4" w:rsidP="00E129E4">
            <w:pPr>
              <w:rPr>
                <w:rFonts w:ascii="Calibri" w:eastAsia="Calibri" w:hAnsi="Calibri" w:cs="Calibri"/>
                <w:b/>
                <w:bCs/>
                <w:sz w:val="20"/>
                <w:szCs w:val="20"/>
                <w:lang w:val="pl-PL"/>
              </w:rPr>
            </w:pPr>
            <w:r>
              <w:rPr>
                <w:rFonts w:ascii="Calibri" w:eastAsia="Calibri" w:hAnsi="Calibri" w:cs="Calibri"/>
                <w:b/>
                <w:bCs/>
                <w:sz w:val="20"/>
                <w:szCs w:val="20"/>
                <w:lang w:val="pl-PL"/>
              </w:rPr>
              <w:t>Wymagania ogólne</w:t>
            </w:r>
          </w:p>
        </w:tc>
        <w:tc>
          <w:tcPr>
            <w:tcW w:w="7692" w:type="dxa"/>
            <w:tcBorders>
              <w:top w:val="single" w:sz="4" w:space="0" w:color="auto"/>
              <w:left w:val="single" w:sz="4" w:space="0" w:color="auto"/>
              <w:bottom w:val="single" w:sz="4" w:space="0" w:color="auto"/>
              <w:right w:val="single" w:sz="4" w:space="0" w:color="auto"/>
            </w:tcBorders>
            <w:hideMark/>
          </w:tcPr>
          <w:p w14:paraId="369DD052" w14:textId="77777777" w:rsidR="00346C40" w:rsidRPr="00346C40" w:rsidRDefault="00346C40">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rPr>
              <w:t>Możliwość backupu co najmniej 1 serwera, środowiska wirtualizacji oraz 26 stacji roboczych.</w:t>
            </w:r>
          </w:p>
          <w:p w14:paraId="2288EEB3" w14:textId="7FC4A93F"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Oprogramowanie działające w architekturze klient-serwer w oparciu o protokół TCP/IP, z centralnym modułem sterowania wykonywaniem kopii zapasowych z dysków komputerów klienckich</w:t>
            </w:r>
          </w:p>
          <w:p w14:paraId="7A3A002C"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Program serwerowy kompatybilny z systemami: Microsoft Windows 7 i nowsze, Windows 11; Microsoft Windows Server 2008, 2012, 2016, 2019, 2022, Linux, BSD, Mac OS X oraz sieciowe serwery plików NAS oparte na systemach Linux/BSD</w:t>
            </w:r>
          </w:p>
          <w:p w14:paraId="1E258C33"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lastRenderedPageBreak/>
              <w:t>Program kliencki kompatybilny z systemami: Microsoft Windows 7 i nowsze, Windows 11; Microsoft Windows Server 2008, 2012, 2016, 2019, 2022, Linux, BSD, Mac OS X</w:t>
            </w:r>
          </w:p>
          <w:p w14:paraId="21804FE1"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archiwizacji pełnej, przyrostowej/różnicowej i delta (różnica na poziomie fragmentów plików)</w:t>
            </w:r>
          </w:p>
          <w:p w14:paraId="52852BED"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archiwizacji otwartych i zablokowanych plików bez korzystania z usługi Volume Shadow Copy Service (VSS)</w:t>
            </w:r>
          </w:p>
          <w:p w14:paraId="59F2FDFC"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Automatyczny backup przy wyłączaniu komputera</w:t>
            </w:r>
          </w:p>
          <w:p w14:paraId="5A06930C"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wybrania do archiwizacji lub wykluczenia z archiwizacji określonych woluminów, katalogów, plików za pomocą symboli wieloznacznych * i ?</w:t>
            </w:r>
          </w:p>
          <w:p w14:paraId="49441FC8"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Backup całego systemu operacyjnego i zainstalowanych programów (tylko Windows)</w:t>
            </w:r>
          </w:p>
          <w:p w14:paraId="55840F20"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Backup baz danych i plików poczty w trybie online i offline</w:t>
            </w:r>
          </w:p>
          <w:p w14:paraId="464525CD"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Kopie rotacyjne (wersjonowanie)</w:t>
            </w:r>
          </w:p>
          <w:p w14:paraId="65C807E1"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Zapis archiwów w otwartym formacie (ZIP 64-bit)</w:t>
            </w:r>
          </w:p>
          <w:p w14:paraId="45E33DD8"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Backup i odzyskiwanie maszyn wirtualnych obsługiwanych przez zainstalowany hypervisor lub równoważny</w:t>
            </w:r>
          </w:p>
          <w:p w14:paraId="39C87204"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Odzyskiwanie systemu operacyjnego na czystym dysku twardym bez konieczności ponownej instalacji (bare metal restore)</w:t>
            </w:r>
          </w:p>
          <w:p w14:paraId="59CAE888"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Bezpośrednie odzyskiwanie plików do lokalizacji oryginalnej</w:t>
            </w:r>
          </w:p>
          <w:p w14:paraId="58478485"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Odzyskiwanie z kopii różnicowych i delta tak jak z kopii pełnych</w:t>
            </w:r>
          </w:p>
          <w:p w14:paraId="4AB3B75C"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Szyfrowanie archiwów i transferu zapewniających bezpieczeństwo sieci i informacji wymaganych przez RODO</w:t>
            </w:r>
          </w:p>
          <w:p w14:paraId="6B8E247A"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Kompresja po stronie stacji roboczej</w:t>
            </w:r>
          </w:p>
          <w:p w14:paraId="471A5747"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Replikacja archiwów na dodatkowy dysk twardy, NAS, serwer FTP,</w:t>
            </w:r>
          </w:p>
          <w:p w14:paraId="58931B7A"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Centralne sterowanie całym Systemem z jednego miejsca</w:t>
            </w:r>
          </w:p>
          <w:p w14:paraId="1E920B9D"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Transparentna archiwizacja wykonywana w tle, która nie jest odczuwalna przez pracowników</w:t>
            </w:r>
          </w:p>
          <w:p w14:paraId="63D435EA"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równoległej archiwizacji wszystkich komputerów podłączonych do sieci LAN/WAN</w:t>
            </w:r>
          </w:p>
          <w:p w14:paraId="5F252E78"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Wysyłanie Alertów administracyjnych na e-mail</w:t>
            </w:r>
          </w:p>
          <w:p w14:paraId="307490FB"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uruchamiania zewnętrznych programów, skryptów i plików wsadowych na serwerze backupu i na komputerach zdalnych</w:t>
            </w:r>
          </w:p>
          <w:p w14:paraId="02EAA96E"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Raporty podsumowujące przebieg archiwizacji, zawierające informacje na temat zaległych zadań archiwizacji oraz statystyki</w:t>
            </w:r>
          </w:p>
          <w:p w14:paraId="7F7295EF"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Automatyczna aktualizacja oprogramowania na komputerach zdalnych</w:t>
            </w:r>
          </w:p>
          <w:p w14:paraId="493F8657" w14:textId="77777777" w:rsidR="00936AF0"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 xml:space="preserve">Bezterminowa licencja </w:t>
            </w:r>
          </w:p>
          <w:p w14:paraId="69EEDBC6" w14:textId="29980D35"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licencja nie może być ograniczona czasowo</w:t>
            </w:r>
          </w:p>
          <w:p w14:paraId="0B7225B5"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Interfejs, instrukcja i pomoc techniczna w języku polskim</w:t>
            </w:r>
          </w:p>
          <w:p w14:paraId="351D3E03"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Możliwość replikacji archiwów na dodatkowy dysk twardy, NAS lub serwer FTP</w:t>
            </w:r>
          </w:p>
          <w:p w14:paraId="3DE0C7D7" w14:textId="77777777" w:rsidR="00E129E4" w:rsidRPr="00E129E4" w:rsidRDefault="00E129E4">
            <w:pPr>
              <w:numPr>
                <w:ilvl w:val="0"/>
                <w:numId w:val="7"/>
              </w:numPr>
              <w:spacing w:line="276" w:lineRule="auto"/>
              <w:rPr>
                <w:rFonts w:ascii="Calibri" w:eastAsia="Calibri" w:hAnsi="Calibri" w:cs="Calibri"/>
                <w:sz w:val="20"/>
                <w:szCs w:val="20"/>
                <w:lang w:val="pl-PL"/>
              </w:rPr>
            </w:pPr>
            <w:r>
              <w:rPr>
                <w:rFonts w:ascii="Calibri" w:eastAsia="Calibri" w:hAnsi="Calibri" w:cs="Calibri"/>
                <w:sz w:val="20"/>
                <w:szCs w:val="20"/>
                <w:lang w:val="pl-PL"/>
              </w:rPr>
              <w:t>Licencja wieczysta</w:t>
            </w:r>
          </w:p>
        </w:tc>
      </w:tr>
      <w:tr w:rsidR="00E129E4" w:rsidRPr="00E129E4" w14:paraId="158496DA" w14:textId="77777777" w:rsidTr="00E129E4">
        <w:tc>
          <w:tcPr>
            <w:tcW w:w="2090" w:type="dxa"/>
            <w:tcBorders>
              <w:top w:val="single" w:sz="4" w:space="0" w:color="auto"/>
              <w:left w:val="single" w:sz="4" w:space="0" w:color="auto"/>
              <w:bottom w:val="single" w:sz="4" w:space="0" w:color="auto"/>
              <w:right w:val="single" w:sz="4" w:space="0" w:color="auto"/>
            </w:tcBorders>
          </w:tcPr>
          <w:p w14:paraId="6CBE84E8" w14:textId="715A2286" w:rsidR="00E129E4" w:rsidRPr="00E129E4" w:rsidRDefault="00E129E4" w:rsidP="00E129E4">
            <w:pPr>
              <w:rPr>
                <w:rFonts w:ascii="Calibri" w:eastAsia="Calibri" w:hAnsi="Calibri" w:cs="Calibri"/>
                <w:b/>
                <w:bCs/>
                <w:sz w:val="20"/>
                <w:szCs w:val="20"/>
                <w:lang w:val="pl-PL"/>
              </w:rPr>
            </w:pPr>
            <w:r>
              <w:rPr>
                <w:rFonts w:ascii="Calibri" w:eastAsia="Calibri" w:hAnsi="Calibri" w:cs="Calibri"/>
                <w:b/>
                <w:bCs/>
                <w:sz w:val="20"/>
                <w:szCs w:val="20"/>
                <w:lang w:val="pl-PL"/>
              </w:rPr>
              <w:t>Instalacja i wdrożenie</w:t>
            </w:r>
          </w:p>
        </w:tc>
        <w:tc>
          <w:tcPr>
            <w:tcW w:w="7692" w:type="dxa"/>
            <w:tcBorders>
              <w:top w:val="single" w:sz="4" w:space="0" w:color="auto"/>
              <w:left w:val="single" w:sz="4" w:space="0" w:color="auto"/>
              <w:bottom w:val="single" w:sz="4" w:space="0" w:color="auto"/>
              <w:right w:val="single" w:sz="4" w:space="0" w:color="auto"/>
            </w:tcBorders>
          </w:tcPr>
          <w:p w14:paraId="0EE1DDF3" w14:textId="77777777" w:rsidR="00787A1F" w:rsidRPr="00787A1F" w:rsidRDefault="00787A1F">
            <w:pPr>
              <w:numPr>
                <w:ilvl w:val="0"/>
                <w:numId w:val="8"/>
              </w:numPr>
              <w:rPr>
                <w:rFonts w:ascii="Calibri" w:eastAsia="Calibri" w:hAnsi="Calibri" w:cs="Calibri"/>
                <w:sz w:val="20"/>
                <w:szCs w:val="20"/>
                <w:lang w:val="pl-PL"/>
              </w:rPr>
            </w:pPr>
            <w:r>
              <w:rPr>
                <w:rFonts w:ascii="Calibri" w:eastAsia="Calibri" w:hAnsi="Calibri" w:cs="Calibri"/>
                <w:sz w:val="20"/>
                <w:szCs w:val="20"/>
                <w:lang w:val="pl-PL"/>
              </w:rPr>
              <w:t>Kompleksowa instalacja oprogramowania serwerowego i klienckiego, konfiguracja harmonogramów backupu, polityk bezpieczeństwa oraz testowe przywrócenie danych w celu weryfikacji działania systemu</w:t>
            </w:r>
          </w:p>
          <w:p w14:paraId="0A0C7D16" w14:textId="77777777" w:rsidR="00787A1F" w:rsidRPr="00787A1F" w:rsidRDefault="00787A1F">
            <w:pPr>
              <w:numPr>
                <w:ilvl w:val="0"/>
                <w:numId w:val="8"/>
              </w:numPr>
              <w:rPr>
                <w:rFonts w:ascii="Calibri" w:eastAsia="Calibri" w:hAnsi="Calibri" w:cs="Calibri"/>
                <w:sz w:val="20"/>
                <w:szCs w:val="20"/>
                <w:lang w:val="pl-PL"/>
              </w:rPr>
            </w:pPr>
            <w:r>
              <w:rPr>
                <w:rFonts w:ascii="Calibri" w:eastAsia="Calibri" w:hAnsi="Calibri" w:cs="Calibri"/>
                <w:sz w:val="20"/>
                <w:szCs w:val="20"/>
                <w:lang w:val="pl-PL"/>
              </w:rPr>
              <w:t>Instruktaż dla administratora IT z obsługi systemu, monitorowania, raportowania i konfiguracji w wymiarze 4 godzin w siedzibie Zamawiającego.</w:t>
            </w:r>
          </w:p>
          <w:p w14:paraId="1C276540" w14:textId="77777777" w:rsidR="00787A1F" w:rsidRPr="00787A1F" w:rsidRDefault="00787A1F">
            <w:pPr>
              <w:numPr>
                <w:ilvl w:val="0"/>
                <w:numId w:val="8"/>
              </w:numPr>
              <w:rPr>
                <w:rFonts w:ascii="Calibri" w:eastAsia="Calibri" w:hAnsi="Calibri" w:cs="Calibri"/>
                <w:sz w:val="20"/>
                <w:szCs w:val="20"/>
                <w:lang w:val="pl-PL"/>
              </w:rPr>
            </w:pPr>
            <w:r>
              <w:rPr>
                <w:rFonts w:ascii="Calibri" w:eastAsia="Calibri" w:hAnsi="Calibri" w:cs="Calibri"/>
                <w:sz w:val="20"/>
                <w:szCs w:val="20"/>
                <w:lang w:val="pl-PL"/>
              </w:rPr>
              <w:lastRenderedPageBreak/>
              <w:t xml:space="preserve">Oferent w zakresie przedmiotu zamówienia musi uwzględnić czas pracy inżyniera, na potrzeby uruchomienia urządzenia w siedzibie Zamawiającego. </w:t>
            </w:r>
          </w:p>
          <w:p w14:paraId="2E63FAD4" w14:textId="77777777" w:rsidR="00787A1F" w:rsidRPr="00787A1F" w:rsidRDefault="00787A1F">
            <w:pPr>
              <w:numPr>
                <w:ilvl w:val="0"/>
                <w:numId w:val="8"/>
              </w:numPr>
              <w:rPr>
                <w:rFonts w:ascii="Calibri" w:eastAsia="Calibri" w:hAnsi="Calibri" w:cs="Calibri"/>
                <w:sz w:val="20"/>
                <w:szCs w:val="20"/>
                <w:lang w:val="pl-PL"/>
              </w:rPr>
            </w:pPr>
            <w:r>
              <w:rPr>
                <w:rFonts w:ascii="Calibri" w:eastAsia="Calibri" w:hAnsi="Calibri" w:cs="Calibri"/>
                <w:sz w:val="20"/>
                <w:szCs w:val="20"/>
                <w:lang w:val="pl-PL"/>
              </w:rPr>
              <w:t>Prace instalacyjne i wdrożeniowe muszą być zrealizowane w siedzibie Zamawiającego. Nie dopuszcza się pracy zdalnej.</w:t>
            </w:r>
          </w:p>
          <w:p w14:paraId="59EDBF43" w14:textId="77777777" w:rsidR="00787A1F" w:rsidRDefault="00787A1F" w:rsidP="00787A1F">
            <w:pPr>
              <w:rPr>
                <w:rFonts w:ascii="Calibri" w:eastAsia="Calibri" w:hAnsi="Calibri" w:cs="Calibri"/>
                <w:sz w:val="20"/>
                <w:szCs w:val="20"/>
                <w:lang w:val="pl-PL"/>
              </w:rPr>
            </w:pPr>
          </w:p>
          <w:p w14:paraId="63FDAA8C" w14:textId="26C7CC1A" w:rsidR="00E129E4" w:rsidRPr="00E129E4" w:rsidRDefault="00787A1F" w:rsidP="00787A1F">
            <w:pPr>
              <w:rPr>
                <w:rFonts w:ascii="Calibri" w:eastAsia="Calibri" w:hAnsi="Calibri" w:cs="Calibri"/>
                <w:sz w:val="20"/>
                <w:szCs w:val="20"/>
                <w:lang w:val="pl-PL"/>
              </w:rPr>
            </w:pPr>
            <w:r>
              <w:rPr>
                <w:rFonts w:ascii="Calibri" w:eastAsia="Calibri" w:hAnsi="Calibri" w:cs="Calibri"/>
                <w:sz w:val="20"/>
                <w:szCs w:val="20"/>
                <w:lang w:val="pl-PL"/>
              </w:rPr>
              <w:t>Z uwagi na typ pracy urzędu, wykonywane prace nie mogą powodować problemów w dostępności do systemu komputerowego Zamawiającego.</w:t>
            </w:r>
          </w:p>
        </w:tc>
      </w:tr>
    </w:tbl>
    <w:p w14:paraId="0000033F" w14:textId="77777777" w:rsidR="0044605B" w:rsidRPr="00023F6E" w:rsidRDefault="0044605B">
      <w:pPr>
        <w:rPr>
          <w:rFonts w:ascii="Calibri" w:hAnsi="Calibri" w:cs="Calibri"/>
        </w:rPr>
      </w:pPr>
    </w:p>
    <w:p w14:paraId="00000340" w14:textId="77777777" w:rsidR="0044605B" w:rsidRPr="00023F6E" w:rsidRDefault="006D749C">
      <w:pPr>
        <w:pStyle w:val="Nagwek2"/>
        <w:numPr>
          <w:ilvl w:val="0"/>
          <w:numId w:val="1"/>
        </w:numPr>
        <w:rPr>
          <w:rFonts w:cs="Calibri"/>
        </w:rPr>
      </w:pPr>
      <w:bookmarkStart w:id="6" w:name="_Toc229478309"/>
      <w:r>
        <w:rPr>
          <w:rFonts w:cs="Calibri"/>
        </w:rPr>
        <w:t>Zakup wraz z instalacją i konfiguracją przełączników sieciowych</w:t>
      </w:r>
      <w:bookmarkEnd w:id="6"/>
    </w:p>
    <w:p w14:paraId="00000341" w14:textId="77777777" w:rsidR="0044605B" w:rsidRPr="00023F6E" w:rsidRDefault="006D749C">
      <w:pPr>
        <w:pStyle w:val="Nagwek2"/>
        <w:numPr>
          <w:ilvl w:val="1"/>
          <w:numId w:val="1"/>
        </w:numPr>
        <w:rPr>
          <w:rFonts w:cs="Calibri"/>
        </w:rPr>
      </w:pPr>
      <w:bookmarkStart w:id="7" w:name="_Toc229478310"/>
      <w:r>
        <w:rPr>
          <w:rFonts w:cs="Calibri"/>
        </w:rPr>
        <w:t>Przełącznik sieciowy – typ 1 – 1 szt.</w:t>
      </w:r>
      <w:bookmarkEnd w:id="7"/>
    </w:p>
    <w:tbl>
      <w:tblPr>
        <w:tblW w:w="9782" w:type="dxa"/>
        <w:tblInd w:w="-289" w:type="dxa"/>
        <w:tblLook w:val="01E0" w:firstRow="1" w:lastRow="1" w:firstColumn="1" w:lastColumn="1" w:noHBand="0" w:noVBand="0"/>
      </w:tblPr>
      <w:tblGrid>
        <w:gridCol w:w="2074"/>
        <w:gridCol w:w="7708"/>
      </w:tblGrid>
      <w:tr w:rsidR="00936AF0" w:rsidRPr="00936AF0" w14:paraId="45FB9AC6"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3621C99D" w14:textId="77777777" w:rsidR="00936AF0" w:rsidRPr="00936AF0" w:rsidRDefault="00936AF0" w:rsidP="00936AF0">
            <w:pPr>
              <w:spacing w:line="276" w:lineRule="auto"/>
              <w:rPr>
                <w:rFonts w:ascii="Calibri" w:hAnsi="Calibri" w:cs="Calibri"/>
                <w:b/>
                <w:sz w:val="22"/>
                <w:szCs w:val="22"/>
                <w:lang w:val="pl-PL"/>
              </w:rPr>
            </w:pPr>
            <w:r>
              <w:rPr>
                <w:rFonts w:ascii="Calibri" w:hAnsi="Calibri" w:cs="Calibri"/>
                <w:b/>
                <w:sz w:val="22"/>
                <w:szCs w:val="22"/>
                <w:lang w:val="pl-PL"/>
              </w:rPr>
              <w:t>Komponent</w:t>
            </w:r>
          </w:p>
        </w:tc>
        <w:tc>
          <w:tcPr>
            <w:tcW w:w="7708" w:type="dxa"/>
            <w:tcBorders>
              <w:top w:val="single" w:sz="4" w:space="0" w:color="auto"/>
              <w:left w:val="single" w:sz="4" w:space="0" w:color="auto"/>
              <w:bottom w:val="single" w:sz="4" w:space="0" w:color="auto"/>
              <w:right w:val="single" w:sz="4" w:space="0" w:color="auto"/>
            </w:tcBorders>
            <w:vAlign w:val="center"/>
            <w:hideMark/>
          </w:tcPr>
          <w:p w14:paraId="494061FA" w14:textId="77777777" w:rsidR="00936AF0" w:rsidRPr="00936AF0" w:rsidRDefault="00936AF0" w:rsidP="00936AF0">
            <w:pPr>
              <w:spacing w:line="276" w:lineRule="auto"/>
              <w:rPr>
                <w:rFonts w:ascii="Calibri" w:hAnsi="Calibri" w:cs="Calibri"/>
                <w:b/>
                <w:sz w:val="22"/>
                <w:szCs w:val="22"/>
                <w:lang w:val="pl-PL"/>
              </w:rPr>
            </w:pPr>
            <w:r>
              <w:rPr>
                <w:rFonts w:ascii="Calibri" w:hAnsi="Calibri" w:cs="Calibri"/>
                <w:b/>
                <w:sz w:val="22"/>
                <w:szCs w:val="22"/>
                <w:lang w:val="pl-PL"/>
              </w:rPr>
              <w:t>Wymagania minimalne parametry techniczne</w:t>
            </w:r>
          </w:p>
        </w:tc>
      </w:tr>
      <w:tr w:rsidR="00936AF0" w:rsidRPr="00936AF0" w14:paraId="2A38DB63"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606D676F"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Parametry fizyczne</w:t>
            </w:r>
          </w:p>
        </w:tc>
        <w:tc>
          <w:tcPr>
            <w:tcW w:w="7708" w:type="dxa"/>
            <w:tcBorders>
              <w:top w:val="single" w:sz="4" w:space="0" w:color="auto"/>
              <w:left w:val="single" w:sz="4" w:space="0" w:color="auto"/>
              <w:bottom w:val="single" w:sz="4" w:space="0" w:color="auto"/>
              <w:right w:val="single" w:sz="4" w:space="0" w:color="auto"/>
            </w:tcBorders>
            <w:hideMark/>
          </w:tcPr>
          <w:p w14:paraId="0C5B9F4B" w14:textId="77777777" w:rsidR="00936AF0" w:rsidRDefault="00936AF0">
            <w:pPr>
              <w:pStyle w:val="Akapitzlist"/>
              <w:numPr>
                <w:ilvl w:val="0"/>
                <w:numId w:val="22"/>
              </w:numPr>
              <w:spacing w:line="276" w:lineRule="auto"/>
              <w:rPr>
                <w:rFonts w:ascii="Calibri" w:hAnsi="Calibri" w:cs="Calibri"/>
                <w:sz w:val="22"/>
                <w:szCs w:val="22"/>
                <w:lang w:val="pl-PL"/>
              </w:rPr>
            </w:pPr>
            <w:r>
              <w:rPr>
                <w:rFonts w:ascii="Calibri" w:hAnsi="Calibri" w:cs="Calibri"/>
                <w:sz w:val="22"/>
                <w:szCs w:val="22"/>
                <w:lang w:val="pl-PL"/>
              </w:rPr>
              <w:t>wymiary urządzenia muszą pozwalać na montaż w szafie rack 19", obudowa nie może być wyższa niż 1U,</w:t>
            </w:r>
          </w:p>
          <w:p w14:paraId="0114FE5E" w14:textId="77777777" w:rsidR="00936AF0" w:rsidRDefault="00936AF0">
            <w:pPr>
              <w:pStyle w:val="Akapitzlist"/>
              <w:numPr>
                <w:ilvl w:val="0"/>
                <w:numId w:val="22"/>
              </w:numPr>
              <w:spacing w:line="276" w:lineRule="auto"/>
              <w:rPr>
                <w:rFonts w:ascii="Calibri" w:hAnsi="Calibri" w:cs="Calibri"/>
                <w:sz w:val="22"/>
                <w:szCs w:val="22"/>
                <w:lang w:val="pl-PL"/>
              </w:rPr>
            </w:pPr>
            <w:r>
              <w:rPr>
                <w:rFonts w:ascii="Calibri" w:hAnsi="Calibri" w:cs="Calibri"/>
                <w:sz w:val="22"/>
                <w:szCs w:val="22"/>
                <w:lang w:val="pl-PL"/>
              </w:rPr>
              <w:t>zasilanie AC 230V,</w:t>
            </w:r>
          </w:p>
          <w:p w14:paraId="59978F54" w14:textId="77777777" w:rsidR="00936AF0" w:rsidRDefault="00936AF0">
            <w:pPr>
              <w:pStyle w:val="Akapitzlist"/>
              <w:numPr>
                <w:ilvl w:val="0"/>
                <w:numId w:val="22"/>
              </w:numPr>
              <w:spacing w:line="276" w:lineRule="auto"/>
              <w:rPr>
                <w:rFonts w:ascii="Calibri" w:hAnsi="Calibri" w:cs="Calibri"/>
                <w:sz w:val="22"/>
                <w:szCs w:val="22"/>
                <w:lang w:val="pl-PL"/>
              </w:rPr>
            </w:pPr>
            <w:r>
              <w:rPr>
                <w:rFonts w:ascii="Calibri" w:hAnsi="Calibri" w:cs="Calibri"/>
                <w:sz w:val="22"/>
                <w:szCs w:val="22"/>
                <w:lang w:val="pl-PL"/>
              </w:rPr>
              <w:t>budżet mocy dla portów PoE min.: 185 W,</w:t>
            </w:r>
          </w:p>
          <w:p w14:paraId="5E8BB10F" w14:textId="77777777" w:rsidR="00936AF0" w:rsidRDefault="00936AF0">
            <w:pPr>
              <w:pStyle w:val="Akapitzlist"/>
              <w:numPr>
                <w:ilvl w:val="0"/>
                <w:numId w:val="22"/>
              </w:numPr>
              <w:spacing w:line="276" w:lineRule="auto"/>
              <w:rPr>
                <w:rFonts w:ascii="Calibri" w:hAnsi="Calibri" w:cs="Calibri"/>
                <w:sz w:val="22"/>
                <w:szCs w:val="22"/>
                <w:lang w:val="pl-PL"/>
              </w:rPr>
            </w:pPr>
            <w:r>
              <w:rPr>
                <w:rFonts w:ascii="Calibri" w:hAnsi="Calibri" w:cs="Calibri"/>
                <w:sz w:val="22"/>
                <w:szCs w:val="22"/>
                <w:lang w:val="pl-PL"/>
              </w:rPr>
              <w:t>maksymalny pobór mocy bez budżetu dla PoE: 55 W,</w:t>
            </w:r>
          </w:p>
          <w:p w14:paraId="6025EE6E" w14:textId="2E8C7C5C" w:rsidR="00936AF0" w:rsidRPr="00936AF0" w:rsidRDefault="00936AF0">
            <w:pPr>
              <w:pStyle w:val="Akapitzlist"/>
              <w:numPr>
                <w:ilvl w:val="0"/>
                <w:numId w:val="22"/>
              </w:numPr>
              <w:spacing w:line="276" w:lineRule="auto"/>
              <w:rPr>
                <w:rFonts w:ascii="Calibri" w:hAnsi="Calibri" w:cs="Calibri"/>
                <w:sz w:val="22"/>
                <w:szCs w:val="22"/>
                <w:lang w:val="pl-PL"/>
              </w:rPr>
            </w:pPr>
            <w:r>
              <w:rPr>
                <w:rFonts w:ascii="Calibri" w:hAnsi="Calibri" w:cs="Calibri"/>
                <w:sz w:val="22"/>
                <w:szCs w:val="22"/>
                <w:lang w:val="pl-PL"/>
              </w:rPr>
              <w:t xml:space="preserve">minimalny zakres temperatury pracy: 0-40ᵒC. </w:t>
            </w:r>
          </w:p>
        </w:tc>
      </w:tr>
      <w:tr w:rsidR="00936AF0" w:rsidRPr="00936AF0" w14:paraId="0F078A55"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62452E3E"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Interfejsy sieciowe</w:t>
            </w:r>
          </w:p>
        </w:tc>
        <w:tc>
          <w:tcPr>
            <w:tcW w:w="7708" w:type="dxa"/>
            <w:tcBorders>
              <w:top w:val="single" w:sz="4" w:space="0" w:color="auto"/>
              <w:left w:val="single" w:sz="4" w:space="0" w:color="auto"/>
              <w:bottom w:val="single" w:sz="4" w:space="0" w:color="auto"/>
              <w:right w:val="single" w:sz="4" w:space="0" w:color="auto"/>
            </w:tcBorders>
            <w:hideMark/>
          </w:tcPr>
          <w:p w14:paraId="130BF318" w14:textId="60BD8549" w:rsidR="00936AF0" w:rsidRP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 xml:space="preserve">Wymaganym jest, aby przełącznik dysponował niezależnymi interfejsami sieciowymi (nie dopuszcza się portów typu combo) w ilości: </w:t>
            </w:r>
          </w:p>
          <w:p w14:paraId="4C7988C7" w14:textId="67CEC8C3" w:rsidR="00936AF0" w:rsidRPr="00936AF0" w:rsidRDefault="00936AF0">
            <w:pPr>
              <w:pStyle w:val="Akapitzlist"/>
              <w:numPr>
                <w:ilvl w:val="0"/>
                <w:numId w:val="23"/>
              </w:numPr>
              <w:spacing w:line="276" w:lineRule="auto"/>
              <w:rPr>
                <w:rFonts w:ascii="Calibri" w:hAnsi="Calibri" w:cs="Calibri"/>
                <w:sz w:val="22"/>
                <w:szCs w:val="22"/>
                <w:lang w:val="pl-PL"/>
              </w:rPr>
            </w:pPr>
            <w:r>
              <w:rPr>
                <w:rFonts w:ascii="Calibri" w:hAnsi="Calibri" w:cs="Calibri"/>
                <w:sz w:val="22"/>
                <w:szCs w:val="22"/>
                <w:lang w:val="pl-PL"/>
              </w:rPr>
              <w:t>24 porty GE RJ-45</w:t>
            </w:r>
            <w:r>
              <w:rPr>
                <w:rFonts w:ascii="Calibri" w:hAnsi="Calibri" w:cs="Calibri"/>
                <w:sz w:val="22"/>
                <w:szCs w:val="22"/>
                <w:lang w:val="pl-PL"/>
              </w:rPr>
              <w:br/>
              <w:t xml:space="preserve">W tym porty PoE w ilości co najmniej: 12, zgodne ze standardem: 802.3af oraz 802.3at. </w:t>
            </w:r>
          </w:p>
          <w:p w14:paraId="6D8128CF" w14:textId="1F12495D" w:rsidR="00936AF0" w:rsidRPr="00936AF0" w:rsidRDefault="00936AF0">
            <w:pPr>
              <w:pStyle w:val="Akapitzlist"/>
              <w:numPr>
                <w:ilvl w:val="0"/>
                <w:numId w:val="23"/>
              </w:numPr>
              <w:spacing w:line="276" w:lineRule="auto"/>
              <w:rPr>
                <w:rFonts w:ascii="Calibri" w:hAnsi="Calibri" w:cs="Calibri"/>
                <w:sz w:val="22"/>
                <w:szCs w:val="22"/>
                <w:lang w:val="pl-PL"/>
              </w:rPr>
            </w:pPr>
            <w:r>
              <w:rPr>
                <w:rFonts w:ascii="Calibri" w:hAnsi="Calibri" w:cs="Calibri"/>
                <w:sz w:val="22"/>
                <w:szCs w:val="22"/>
                <w:lang w:val="pl-PL"/>
              </w:rPr>
              <w:t>4 porty 10 GE SFP+.</w:t>
            </w:r>
          </w:p>
        </w:tc>
      </w:tr>
      <w:tr w:rsidR="00936AF0" w:rsidRPr="00936AF0" w14:paraId="3D047215"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2F529F8B"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Zarządzanie</w:t>
            </w:r>
          </w:p>
        </w:tc>
        <w:tc>
          <w:tcPr>
            <w:tcW w:w="7708" w:type="dxa"/>
            <w:tcBorders>
              <w:top w:val="single" w:sz="4" w:space="0" w:color="auto"/>
              <w:left w:val="single" w:sz="4" w:space="0" w:color="auto"/>
              <w:bottom w:val="single" w:sz="4" w:space="0" w:color="auto"/>
              <w:right w:val="single" w:sz="4" w:space="0" w:color="auto"/>
            </w:tcBorders>
            <w:hideMark/>
          </w:tcPr>
          <w:p w14:paraId="5174AEE7" w14:textId="77777777"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wbudowany 1 port konsoli szeregowej do pełnego zarządzania,</w:t>
            </w:r>
          </w:p>
          <w:p w14:paraId="53682BDD" w14:textId="0466A704"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zarządzanie przez: command line (w tym poprzez SSH) oraz poprzez graficzny interfejs z wykorzystaniem przeglądarki (HTTPS),</w:t>
            </w:r>
          </w:p>
          <w:p w14:paraId="486AE94B" w14:textId="28D4E837"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wsparcie dla SNMP w wersjach 1-3,</w:t>
            </w:r>
          </w:p>
          <w:p w14:paraId="2A3886BF" w14:textId="0ADD55B5"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funkcja zarządzania poprzez dedykowany kontroler przełączników lub system zarządzania, pozwalający na automatyczne wykrywanie, centralne konfigurowanie oraz zarządzanie przełącznikami,</w:t>
            </w:r>
          </w:p>
          <w:p w14:paraId="7C54AEC6" w14:textId="682DBE6B"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funkcja aktualizacji oprogramowania przez TFTP/FTP oraz za pomocą GUI,</w:t>
            </w:r>
          </w:p>
          <w:p w14:paraId="2D570EDB" w14:textId="77777777" w:rsidR="00D474F1"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konfiguracja w formie pliku tekstowego umożliwiającego edycję konfiguracji offline,</w:t>
            </w:r>
          </w:p>
          <w:p w14:paraId="7CC860BD" w14:textId="6FC9D757" w:rsidR="00936AF0" w:rsidRP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funkcja backupu konfiguracji z poziomu GUI jak również z CLI (TFTP/FTP),</w:t>
            </w:r>
          </w:p>
          <w:p w14:paraId="22D26292" w14:textId="66C5B266" w:rsid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funkcja definiowania administratorów lokalnie oraz wykorzystanie w tym celu serwerów Radius i TACACS+,</w:t>
            </w:r>
          </w:p>
          <w:p w14:paraId="0FBF67F9" w14:textId="15C6837C" w:rsidR="00936AF0" w:rsidRPr="00936AF0" w:rsidRDefault="00936AF0">
            <w:pPr>
              <w:pStyle w:val="Akapitzlist"/>
              <w:numPr>
                <w:ilvl w:val="0"/>
                <w:numId w:val="24"/>
              </w:numPr>
              <w:spacing w:line="276" w:lineRule="auto"/>
              <w:rPr>
                <w:rFonts w:ascii="Calibri" w:hAnsi="Calibri" w:cs="Calibri"/>
                <w:sz w:val="22"/>
                <w:szCs w:val="22"/>
                <w:lang w:val="pl-PL"/>
              </w:rPr>
            </w:pPr>
            <w:r>
              <w:rPr>
                <w:rFonts w:ascii="Calibri" w:hAnsi="Calibri" w:cs="Calibri"/>
                <w:sz w:val="22"/>
                <w:szCs w:val="22"/>
                <w:lang w:val="pl-PL"/>
              </w:rPr>
              <w:t>funkcja definiowania ról administratorów z możliwością określenia trybu dostępu (brak, tylko odczyt, odczyt oraz modyfikacja) do wybranych części konfiguracji,</w:t>
            </w:r>
            <w:r>
              <w:rPr>
                <w:rFonts w:ascii="Calibri" w:hAnsi="Calibri" w:cs="Calibri"/>
                <w:sz w:val="22"/>
                <w:szCs w:val="22"/>
                <w:lang w:val="pl-PL"/>
              </w:rPr>
              <w:br/>
              <w:t xml:space="preserve">automatycznie wykonywane rewizje konfiguracji. </w:t>
            </w:r>
          </w:p>
        </w:tc>
      </w:tr>
      <w:tr w:rsidR="00936AF0" w:rsidRPr="00936AF0" w14:paraId="2B7046DC"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6E995310"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lastRenderedPageBreak/>
              <w:t>Parametry wydajnościowe</w:t>
            </w:r>
          </w:p>
        </w:tc>
        <w:tc>
          <w:tcPr>
            <w:tcW w:w="7708" w:type="dxa"/>
            <w:tcBorders>
              <w:top w:val="single" w:sz="4" w:space="0" w:color="auto"/>
              <w:left w:val="single" w:sz="4" w:space="0" w:color="auto"/>
              <w:bottom w:val="single" w:sz="4" w:space="0" w:color="auto"/>
              <w:right w:val="single" w:sz="4" w:space="0" w:color="auto"/>
            </w:tcBorders>
            <w:hideMark/>
          </w:tcPr>
          <w:p w14:paraId="21BEB04A" w14:textId="3E48B65B" w:rsidR="00936AF0" w:rsidRDefault="00936AF0">
            <w:pPr>
              <w:pStyle w:val="Akapitzlist"/>
              <w:numPr>
                <w:ilvl w:val="0"/>
                <w:numId w:val="25"/>
              </w:numPr>
              <w:spacing w:line="276" w:lineRule="auto"/>
              <w:rPr>
                <w:rFonts w:ascii="Calibri" w:hAnsi="Calibri" w:cs="Calibri"/>
                <w:sz w:val="22"/>
                <w:szCs w:val="22"/>
                <w:lang w:val="pl-PL"/>
              </w:rPr>
            </w:pPr>
          </w:p>
          <w:p w14:paraId="0B1478F0" w14:textId="068888EC"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 xml:space="preserve">system musi zapewniać routing statyczny. </w:t>
            </w:r>
          </w:p>
        </w:tc>
      </w:tr>
      <w:tr w:rsidR="00936AF0" w:rsidRPr="00936AF0" w14:paraId="4F3C3E27"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0D5B3E31"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Wymagane funkcje</w:t>
            </w:r>
          </w:p>
        </w:tc>
        <w:tc>
          <w:tcPr>
            <w:tcW w:w="7708" w:type="dxa"/>
            <w:tcBorders>
              <w:top w:val="single" w:sz="4" w:space="0" w:color="auto"/>
              <w:left w:val="single" w:sz="4" w:space="0" w:color="auto"/>
              <w:bottom w:val="single" w:sz="4" w:space="0" w:color="auto"/>
              <w:right w:val="single" w:sz="4" w:space="0" w:color="auto"/>
            </w:tcBorders>
            <w:hideMark/>
          </w:tcPr>
          <w:p w14:paraId="366C5348" w14:textId="0DA85D96"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funkcja automatycznej negocjacji prędkości i duplexu dla połączeń,</w:t>
            </w:r>
          </w:p>
          <w:p w14:paraId="16D9641B" w14:textId="0F1B0B0D" w:rsidR="00936AF0" w:rsidRPr="00936AF0" w:rsidRDefault="00936AF0">
            <w:pPr>
              <w:pStyle w:val="Akapitzlist"/>
              <w:numPr>
                <w:ilvl w:val="0"/>
                <w:numId w:val="25"/>
              </w:numPr>
              <w:spacing w:line="276" w:lineRule="auto"/>
              <w:rPr>
                <w:rFonts w:ascii="Calibri" w:hAnsi="Calibri" w:cs="Calibri"/>
                <w:sz w:val="22"/>
                <w:szCs w:val="22"/>
                <w:lang w:val="en-US"/>
              </w:rPr>
            </w:pPr>
            <w:r>
              <w:rPr>
                <w:rFonts w:ascii="Calibri" w:hAnsi="Calibri" w:cs="Calibri"/>
                <w:sz w:val="22"/>
                <w:szCs w:val="22"/>
                <w:lang w:val="en-US"/>
              </w:rPr>
              <w:t>obsługa Jumbo Frames,</w:t>
            </w:r>
          </w:p>
          <w:p w14:paraId="7719340D" w14:textId="1B83B71C" w:rsidR="00936AF0" w:rsidRPr="00936AF0" w:rsidRDefault="00936AF0">
            <w:pPr>
              <w:pStyle w:val="Akapitzlist"/>
              <w:numPr>
                <w:ilvl w:val="0"/>
                <w:numId w:val="25"/>
              </w:numPr>
              <w:spacing w:line="276" w:lineRule="auto"/>
              <w:rPr>
                <w:rFonts w:ascii="Calibri" w:hAnsi="Calibri" w:cs="Calibri"/>
                <w:sz w:val="22"/>
                <w:szCs w:val="22"/>
                <w:lang w:val="en-US"/>
              </w:rPr>
            </w:pPr>
            <w:r>
              <w:rPr>
                <w:rFonts w:ascii="Calibri" w:hAnsi="Calibri" w:cs="Calibri"/>
                <w:sz w:val="22"/>
                <w:szCs w:val="22"/>
                <w:lang w:val="en-US"/>
              </w:rPr>
              <w:t>obsługa 802.1d (Spanning Tree), 802.1w (Rapid Spanning Tree), 802.1s (Multiple Spanning Tree),</w:t>
            </w:r>
          </w:p>
          <w:p w14:paraId="11C95312" w14:textId="2714684B"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agregacja portów zgodna ze standardem 802.3ad,</w:t>
            </w:r>
          </w:p>
          <w:p w14:paraId="4227E156" w14:textId="3EF97145"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obsługa tagowania w standardzie 802.1Q (pula 4096 VLAN ID) z możliwością jednoczesnej (aktywnej) obsługi min. 250 sieci VLAN,</w:t>
            </w:r>
          </w:p>
          <w:p w14:paraId="076E4319" w14:textId="5A172E0E"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obsługa routingu statycznego,</w:t>
            </w:r>
          </w:p>
          <w:p w14:paraId="1A1A0FBF" w14:textId="464EC386"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port-mirroring,</w:t>
            </w:r>
          </w:p>
          <w:p w14:paraId="0932F1F5" w14:textId="56AFCFDC"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uwierzytelnianie 802.1x na poziomie portu,</w:t>
            </w:r>
          </w:p>
          <w:p w14:paraId="78C8D82D" w14:textId="31C5FF24"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uwierzytelnianie 802.1x w oparciu o adres MAC,</w:t>
            </w:r>
          </w:p>
          <w:p w14:paraId="23587729" w14:textId="7A1D446E"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w ramach 802.1x wsparcie dla dedykowanego VLAN'u dla gości (guest VLAN),</w:t>
            </w:r>
          </w:p>
          <w:p w14:paraId="18C978DD" w14:textId="4FD7199C" w:rsidR="00936AF0" w:rsidRPr="00936AF0"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w ramach 802.1x wsparcie dla urządzeń, które nie obsługują tego protokołu, na podstawie adresu MAC urządzenia,</w:t>
            </w:r>
          </w:p>
          <w:p w14:paraId="0642E447" w14:textId="56FE90B5" w:rsidR="00936AF0" w:rsidRPr="006A6AC6" w:rsidRDefault="00936AF0">
            <w:pPr>
              <w:pStyle w:val="Akapitzlist"/>
              <w:numPr>
                <w:ilvl w:val="0"/>
                <w:numId w:val="25"/>
              </w:numPr>
              <w:spacing w:line="276" w:lineRule="auto"/>
              <w:rPr>
                <w:rFonts w:ascii="Calibri" w:hAnsi="Calibri" w:cs="Calibri"/>
                <w:sz w:val="22"/>
                <w:szCs w:val="22"/>
                <w:lang w:val="pl-PL"/>
              </w:rPr>
            </w:pPr>
            <w:r>
              <w:rPr>
                <w:rFonts w:ascii="Calibri" w:hAnsi="Calibri" w:cs="Calibri"/>
                <w:sz w:val="22"/>
                <w:szCs w:val="22"/>
                <w:lang w:val="pl-PL"/>
              </w:rPr>
              <w:t>w ramach 802.1x wsparcie dla dynamicznego przypisywania VLAN,</w:t>
            </w:r>
          </w:p>
        </w:tc>
      </w:tr>
      <w:tr w:rsidR="00936AF0" w:rsidRPr="00936AF0" w14:paraId="6C757B0C" w14:textId="77777777" w:rsidTr="00936AF0">
        <w:tc>
          <w:tcPr>
            <w:tcW w:w="2074" w:type="dxa"/>
            <w:tcBorders>
              <w:top w:val="single" w:sz="4" w:space="0" w:color="auto"/>
              <w:left w:val="single" w:sz="4" w:space="0" w:color="auto"/>
              <w:bottom w:val="single" w:sz="4" w:space="0" w:color="auto"/>
              <w:right w:val="single" w:sz="4" w:space="0" w:color="auto"/>
            </w:tcBorders>
            <w:vAlign w:val="center"/>
          </w:tcPr>
          <w:p w14:paraId="552932A5" w14:textId="77777777" w:rsidR="00936AF0" w:rsidRPr="00936AF0" w:rsidRDefault="00936AF0" w:rsidP="00936AF0">
            <w:pPr>
              <w:spacing w:line="276" w:lineRule="auto"/>
              <w:rPr>
                <w:rFonts w:ascii="Calibri" w:hAnsi="Calibri" w:cs="Calibri"/>
                <w:b/>
                <w:bCs/>
                <w:sz w:val="22"/>
                <w:szCs w:val="22"/>
                <w:lang w:val="pl-PL"/>
              </w:rPr>
            </w:pPr>
          </w:p>
          <w:p w14:paraId="2888C1AE"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 xml:space="preserve">Dodatkowe funkcje urządzenia przy integracji z systemem centralnego zarządzania/ NAC </w:t>
            </w:r>
          </w:p>
        </w:tc>
        <w:tc>
          <w:tcPr>
            <w:tcW w:w="7708" w:type="dxa"/>
            <w:tcBorders>
              <w:top w:val="single" w:sz="4" w:space="0" w:color="auto"/>
              <w:left w:val="single" w:sz="4" w:space="0" w:color="auto"/>
              <w:bottom w:val="single" w:sz="4" w:space="0" w:color="auto"/>
              <w:right w:val="single" w:sz="4" w:space="0" w:color="auto"/>
            </w:tcBorders>
            <w:hideMark/>
          </w:tcPr>
          <w:p w14:paraId="0B14E478" w14:textId="7C626C4D" w:rsid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Przełączniki muszą obsługiwać zarządzanie przez dedykowany kontroler przełączników lub system centralnego zarządzania, pozwalający na automatyczne wykrywanie i centralne konfigurowanie urządzeń. Zakres zarządzania musi zawierać co najmniej:</w:t>
            </w:r>
          </w:p>
          <w:p w14:paraId="3E35035C" w14:textId="7D16FA9A"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centralne zarządzanie konfiguracją urządzenia,</w:t>
            </w:r>
          </w:p>
          <w:p w14:paraId="1E651E2E" w14:textId="7598D92F"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aktualizacja oprogramowania realizowana z systemu centralnego zarządzania,</w:t>
            </w:r>
          </w:p>
          <w:p w14:paraId="42B10D90" w14:textId="03D0C801"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centralne zarządzanie sieciami VLAN,</w:t>
            </w:r>
          </w:p>
          <w:p w14:paraId="5A22EDBA" w14:textId="7B957F70"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blokowanie ruchu pomiędzy klientami w ramach jednego VLAN'u,</w:t>
            </w:r>
          </w:p>
          <w:p w14:paraId="6638B283" w14:textId="3146EAEB"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rozpoznawanie urządzeń uzyskujących dostęp do sieci, zarówno stacji klienckich, jak i urządzeń typu drukarki, routery, przełączniki, itp.,</w:t>
            </w:r>
          </w:p>
          <w:p w14:paraId="377537F7" w14:textId="67164B04"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przenoszenie zidentyfikowanych urządzeń do właściwych stref. W przypadku wykrycia urządzenia niepasującego do zaakceptowanych schematów, urządzenie powinno przenieść go do strefy odizolowanej,</w:t>
            </w:r>
          </w:p>
          <w:p w14:paraId="7FF0935F" w14:textId="5D48CF96"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integrację z systemem kontroli dostępu. Urządzenie musi podejmować decyzje o dostępie na podstawie przynajmniej następujących czynników: nazwy hosta, nazwy użytkownika, typu urządzenia, typu systemu operacyjnego,</w:t>
            </w:r>
          </w:p>
          <w:p w14:paraId="3D708904" w14:textId="4D50A65A"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automatyczna detekcja i rekomendacje konfiguracji,</w:t>
            </w:r>
          </w:p>
          <w:p w14:paraId="7864FD37" w14:textId="2A0AA403"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przesyłanie logów na zewnętrzny serwer syslog,</w:t>
            </w:r>
          </w:p>
          <w:p w14:paraId="71AE6C45" w14:textId="7542CE58"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funkcja uruchomienia Captive Portalu w celu identyfikacji użytkowników,</w:t>
            </w:r>
          </w:p>
          <w:p w14:paraId="03B7C093" w14:textId="1EF2FC35"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obsługa białych i czarnych list adresów MAC,</w:t>
            </w:r>
          </w:p>
          <w:p w14:paraId="73A16D92" w14:textId="6AC24901"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t>wykrywanie aplikacji komunikujących się w sieci,</w:t>
            </w:r>
          </w:p>
          <w:p w14:paraId="6B76EFB0" w14:textId="77777777" w:rsidR="00936AF0" w:rsidRPr="00936AF0" w:rsidRDefault="00936AF0">
            <w:pPr>
              <w:pStyle w:val="Akapitzlist"/>
              <w:numPr>
                <w:ilvl w:val="0"/>
                <w:numId w:val="26"/>
              </w:numPr>
              <w:spacing w:line="276" w:lineRule="auto"/>
              <w:rPr>
                <w:rFonts w:ascii="Calibri" w:hAnsi="Calibri" w:cs="Calibri"/>
                <w:sz w:val="22"/>
                <w:szCs w:val="22"/>
                <w:lang w:val="pl-PL"/>
              </w:rPr>
            </w:pPr>
            <w:r>
              <w:rPr>
                <w:rFonts w:ascii="Calibri" w:hAnsi="Calibri" w:cs="Calibri"/>
                <w:sz w:val="22"/>
                <w:szCs w:val="22"/>
                <w:lang w:val="pl-PL"/>
              </w:rPr>
              <w:lastRenderedPageBreak/>
              <w:t>musi być możliwe redundantne połączenie z elementami zarządzającymi,</w:t>
            </w:r>
            <w:r>
              <w:rPr>
                <w:rFonts w:ascii="Calibri" w:hAnsi="Calibri" w:cs="Calibri"/>
                <w:sz w:val="22"/>
                <w:szCs w:val="22"/>
                <w:lang w:val="pl-PL"/>
              </w:rPr>
              <w:br/>
            </w:r>
          </w:p>
          <w:p w14:paraId="03D3B939" w14:textId="4AE9E7EC" w:rsidR="00936AF0" w:rsidRP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W ramach postępowania koniecznym jest dostarczenie wszystkich licencji niezbędnych do uruchomienia na przełączniku w/w funkcji, polegających na integracji z systemem centralnego zarządzania lub NAC.</w:t>
            </w:r>
          </w:p>
        </w:tc>
      </w:tr>
      <w:tr w:rsidR="00936AF0" w:rsidRPr="00936AF0" w14:paraId="3481F8C1"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71FE762A"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lastRenderedPageBreak/>
              <w:t>Funkcje urządzenia przy integracji z systemem centralnego zarządzania lub bezpieczeństwa</w:t>
            </w:r>
          </w:p>
        </w:tc>
        <w:tc>
          <w:tcPr>
            <w:tcW w:w="7708" w:type="dxa"/>
            <w:tcBorders>
              <w:top w:val="single" w:sz="4" w:space="0" w:color="auto"/>
              <w:left w:val="single" w:sz="4" w:space="0" w:color="auto"/>
              <w:bottom w:val="single" w:sz="4" w:space="0" w:color="auto"/>
              <w:right w:val="single" w:sz="4" w:space="0" w:color="auto"/>
            </w:tcBorders>
            <w:vAlign w:val="center"/>
            <w:hideMark/>
          </w:tcPr>
          <w:p w14:paraId="0BCD4CC6" w14:textId="027B2C00" w:rsidR="00936AF0" w:rsidRDefault="00936AF0">
            <w:pPr>
              <w:pStyle w:val="Akapitzlist"/>
              <w:numPr>
                <w:ilvl w:val="0"/>
                <w:numId w:val="27"/>
              </w:numPr>
              <w:spacing w:line="276" w:lineRule="auto"/>
              <w:rPr>
                <w:rFonts w:ascii="Calibri" w:hAnsi="Calibri" w:cs="Calibri"/>
                <w:sz w:val="22"/>
                <w:szCs w:val="22"/>
                <w:lang w:val="pl-PL"/>
              </w:rPr>
            </w:pPr>
          </w:p>
          <w:p w14:paraId="4A081E5F" w14:textId="4A53BDDD" w:rsidR="00936AF0" w:rsidRPr="00936AF0" w:rsidRDefault="00936AF0">
            <w:pPr>
              <w:pStyle w:val="Akapitzlist"/>
              <w:numPr>
                <w:ilvl w:val="0"/>
                <w:numId w:val="27"/>
              </w:numPr>
              <w:spacing w:line="276" w:lineRule="auto"/>
              <w:rPr>
                <w:rFonts w:ascii="Calibri" w:hAnsi="Calibri" w:cs="Calibri"/>
                <w:sz w:val="22"/>
                <w:szCs w:val="22"/>
                <w:lang w:val="pl-PL"/>
              </w:rPr>
            </w:pPr>
            <w:r>
              <w:rPr>
                <w:rFonts w:ascii="Calibri" w:hAnsi="Calibri" w:cs="Calibri"/>
                <w:sz w:val="22"/>
                <w:szCs w:val="22"/>
                <w:lang w:val="pl-PL"/>
              </w:rPr>
              <w:t>system musi zapewniać routing statyczny</w:t>
            </w:r>
          </w:p>
        </w:tc>
      </w:tr>
      <w:tr w:rsidR="00936AF0" w:rsidRPr="00936AF0" w14:paraId="01BC6FB4"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7930E092"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Gwarancja oraz wsparcie</w:t>
            </w:r>
          </w:p>
        </w:tc>
        <w:tc>
          <w:tcPr>
            <w:tcW w:w="7708" w:type="dxa"/>
            <w:tcBorders>
              <w:top w:val="single" w:sz="4" w:space="0" w:color="auto"/>
              <w:left w:val="single" w:sz="4" w:space="0" w:color="auto"/>
              <w:bottom w:val="single" w:sz="4" w:space="0" w:color="auto"/>
              <w:right w:val="single" w:sz="4" w:space="0" w:color="auto"/>
            </w:tcBorders>
            <w:hideMark/>
          </w:tcPr>
          <w:p w14:paraId="632446C9" w14:textId="77777777" w:rsidR="00936AF0" w:rsidRP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 xml:space="preserve">System musi być objęty serwisem gwarancyjnym producenta przez okres 24 miesięcy, polegającym na naprawie lub wymianie urządzenia w przypadku jego wadliwości. W ramach tego serwisu producent musi zapewniać również dostęp do aktualizacji oprogramowania oraz wsparcie techniczne w trybie 24x7. </w:t>
            </w:r>
          </w:p>
        </w:tc>
      </w:tr>
      <w:tr w:rsidR="00936AF0" w:rsidRPr="00936AF0" w14:paraId="539C8A25" w14:textId="77777777" w:rsidTr="00936AF0">
        <w:tc>
          <w:tcPr>
            <w:tcW w:w="2074" w:type="dxa"/>
            <w:tcBorders>
              <w:top w:val="single" w:sz="4" w:space="0" w:color="auto"/>
              <w:left w:val="single" w:sz="4" w:space="0" w:color="auto"/>
              <w:bottom w:val="single" w:sz="4" w:space="0" w:color="auto"/>
              <w:right w:val="single" w:sz="4" w:space="0" w:color="auto"/>
            </w:tcBorders>
            <w:vAlign w:val="center"/>
            <w:hideMark/>
          </w:tcPr>
          <w:p w14:paraId="35160856" w14:textId="77777777" w:rsidR="00936AF0" w:rsidRPr="00936AF0" w:rsidRDefault="00936AF0" w:rsidP="00936AF0">
            <w:pPr>
              <w:spacing w:line="276" w:lineRule="auto"/>
              <w:rPr>
                <w:rFonts w:ascii="Calibri" w:hAnsi="Calibri" w:cs="Calibri"/>
                <w:b/>
                <w:bCs/>
                <w:sz w:val="22"/>
                <w:szCs w:val="22"/>
                <w:lang w:val="pl-PL"/>
              </w:rPr>
            </w:pPr>
            <w:r>
              <w:rPr>
                <w:rFonts w:ascii="Calibri" w:hAnsi="Calibri" w:cs="Calibri"/>
                <w:b/>
                <w:bCs/>
                <w:sz w:val="22"/>
                <w:szCs w:val="22"/>
                <w:lang w:val="pl-PL"/>
              </w:rPr>
              <w:t>Inne</w:t>
            </w:r>
          </w:p>
        </w:tc>
        <w:tc>
          <w:tcPr>
            <w:tcW w:w="7708" w:type="dxa"/>
            <w:tcBorders>
              <w:top w:val="single" w:sz="4" w:space="0" w:color="auto"/>
              <w:left w:val="single" w:sz="4" w:space="0" w:color="auto"/>
              <w:bottom w:val="single" w:sz="4" w:space="0" w:color="auto"/>
              <w:right w:val="single" w:sz="4" w:space="0" w:color="auto"/>
            </w:tcBorders>
            <w:hideMark/>
          </w:tcPr>
          <w:p w14:paraId="69CFCE06" w14:textId="77777777" w:rsidR="00936AF0" w:rsidRP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W przypadku gdy oferowana technologia stanowi produkt podwójnego zastosowania w rozumieniu obowiązujących przepisów prawa, Dostawca zobowiązany jest do przedłożenia dokumentu pochodzącego od importera tej technologii, potwierdzającego, że przy jej wprowadzeniu na terytorium Rzeczypospolitej Polskiej zostały dochowane wymogi właściwych przepisów prawa, w szczególności:</w:t>
            </w:r>
          </w:p>
          <w:p w14:paraId="641FB616" w14:textId="77777777" w:rsidR="00936AF0" w:rsidRPr="00936AF0" w:rsidRDefault="00936AF0">
            <w:pPr>
              <w:numPr>
                <w:ilvl w:val="0"/>
                <w:numId w:val="28"/>
              </w:numPr>
              <w:spacing w:line="276" w:lineRule="auto"/>
              <w:rPr>
                <w:rFonts w:ascii="Calibri" w:hAnsi="Calibri" w:cs="Calibri"/>
                <w:sz w:val="22"/>
                <w:szCs w:val="22"/>
                <w:lang w:val="pl-PL"/>
              </w:rPr>
            </w:pPr>
            <w:r>
              <w:rPr>
                <w:rFonts w:ascii="Calibri" w:hAnsi="Calibri" w:cs="Calibri"/>
                <w:sz w:val="22"/>
                <w:szCs w:val="22"/>
                <w:lang w:val="pl-PL"/>
              </w:rPr>
              <w:t>ustawy z dnia 29 listopada 2000 r. o obrocie z zagranicą towarami, technologiami i usługami o znaczeniu strategicznym dla bezpieczeństwa państwa, a także dla utrzymania międzynarodowego pokoju i bezpieczeństwa (t.j. Dz.U. z późn. zm.),</w:t>
            </w:r>
          </w:p>
          <w:p w14:paraId="2F995823" w14:textId="77777777" w:rsidR="00936AF0" w:rsidRPr="00936AF0" w:rsidRDefault="00936AF0">
            <w:pPr>
              <w:numPr>
                <w:ilvl w:val="0"/>
                <w:numId w:val="28"/>
              </w:numPr>
              <w:spacing w:line="276" w:lineRule="auto"/>
              <w:rPr>
                <w:rFonts w:ascii="Calibri" w:hAnsi="Calibri" w:cs="Calibri"/>
                <w:sz w:val="22"/>
                <w:szCs w:val="22"/>
                <w:lang w:val="pl-PL"/>
              </w:rPr>
            </w:pPr>
            <w:r>
              <w:rPr>
                <w:rFonts w:ascii="Calibri" w:hAnsi="Calibri" w:cs="Calibri"/>
                <w:sz w:val="22"/>
                <w:szCs w:val="22"/>
                <w:lang w:val="pl-PL"/>
              </w:rPr>
              <w:t>przepisów dotyczących wspólnotowego systemu kontroli wywozu, transferu, pośrednictwa i tranzytu w odniesieniu do produktów podwójnego zastosowania.</w:t>
            </w:r>
          </w:p>
          <w:p w14:paraId="678D4098" w14:textId="77777777" w:rsidR="00936AF0" w:rsidRDefault="00936AF0" w:rsidP="00936AF0">
            <w:pPr>
              <w:spacing w:line="276" w:lineRule="auto"/>
              <w:rPr>
                <w:rFonts w:ascii="Calibri" w:hAnsi="Calibri" w:cs="Calibri"/>
                <w:sz w:val="22"/>
                <w:szCs w:val="22"/>
                <w:lang w:val="pl-PL"/>
              </w:rPr>
            </w:pPr>
            <w:r>
              <w:rPr>
                <w:rFonts w:ascii="Calibri" w:hAnsi="Calibri" w:cs="Calibri"/>
                <w:sz w:val="22"/>
                <w:szCs w:val="22"/>
                <w:lang w:val="pl-PL"/>
              </w:rPr>
              <w:t>Dokument powinien jednoznacznie potwierdzać legalność wprowadzenia technologii do obrotu na terytorium RP.</w:t>
            </w:r>
          </w:p>
          <w:p w14:paraId="188C1CEC" w14:textId="77777777" w:rsidR="00936AF0" w:rsidRDefault="00936AF0" w:rsidP="00936AF0">
            <w:pPr>
              <w:spacing w:line="276" w:lineRule="auto"/>
              <w:rPr>
                <w:rFonts w:ascii="Calibri" w:hAnsi="Calibri" w:cs="Calibri"/>
                <w:sz w:val="22"/>
                <w:szCs w:val="22"/>
                <w:lang w:val="pl-PL"/>
              </w:rPr>
            </w:pPr>
          </w:p>
          <w:p w14:paraId="2BB82CD4" w14:textId="09A7942B" w:rsidR="00936AF0" w:rsidRPr="00936AF0" w:rsidRDefault="00936AF0" w:rsidP="00936AF0">
            <w:pPr>
              <w:spacing w:line="276" w:lineRule="auto"/>
              <w:rPr>
                <w:rFonts w:ascii="Calibri" w:hAnsi="Calibri" w:cs="Calibri"/>
                <w:sz w:val="22"/>
                <w:szCs w:val="22"/>
                <w:lang w:val="pl-PL"/>
              </w:rPr>
            </w:pPr>
            <w:r>
              <w:rPr>
                <w:rFonts w:ascii="Calibri" w:hAnsi="Calibri" w:cs="Calibri"/>
                <w:sz w:val="22"/>
                <w:szCs w:val="22"/>
              </w:rPr>
              <w:t>Wykonawca posiada autoryzację producenta w zakresie sprzedaży oferowanych rozwiązań. Zamawiający nie żąda złożenia dokumentu potwierdzającego tę okoliczność wraz z ofertą.</w:t>
            </w:r>
          </w:p>
        </w:tc>
      </w:tr>
    </w:tbl>
    <w:p w14:paraId="0000036F" w14:textId="77777777" w:rsidR="0044605B" w:rsidRPr="00936AF0" w:rsidRDefault="0044605B">
      <w:pPr>
        <w:rPr>
          <w:rFonts w:ascii="Calibri" w:hAnsi="Calibri" w:cs="Calibri"/>
          <w:lang w:val="pl-PL"/>
        </w:rPr>
      </w:pPr>
    </w:p>
    <w:p w14:paraId="00000370" w14:textId="77777777" w:rsidR="0044605B" w:rsidRPr="00023F6E" w:rsidRDefault="006D749C">
      <w:pPr>
        <w:pStyle w:val="Nagwek2"/>
        <w:numPr>
          <w:ilvl w:val="1"/>
          <w:numId w:val="1"/>
        </w:numPr>
        <w:rPr>
          <w:rFonts w:cs="Calibri"/>
        </w:rPr>
      </w:pPr>
      <w:bookmarkStart w:id="8" w:name="_Toc229478311"/>
      <w:r>
        <w:rPr>
          <w:rFonts w:cs="Calibri"/>
        </w:rPr>
        <w:t>Przełącznik sieciowy – typ 2 – 1 szt.</w:t>
      </w:r>
      <w:bookmarkEnd w:id="8"/>
    </w:p>
    <w:tbl>
      <w:tblPr>
        <w:tblW w:w="9782" w:type="dxa"/>
        <w:tblInd w:w="-289" w:type="dxa"/>
        <w:tblLook w:val="01E0" w:firstRow="1" w:lastRow="1" w:firstColumn="1" w:lastColumn="1" w:noHBand="0" w:noVBand="0"/>
      </w:tblPr>
      <w:tblGrid>
        <w:gridCol w:w="2119"/>
        <w:gridCol w:w="7663"/>
      </w:tblGrid>
      <w:tr w:rsidR="00936AF0" w:rsidRPr="00936AF0" w14:paraId="6165072F"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138F0F97" w14:textId="77777777" w:rsidR="00936AF0" w:rsidRPr="00936AF0" w:rsidRDefault="00936AF0" w:rsidP="00936AF0">
            <w:pPr>
              <w:rPr>
                <w:rFonts w:ascii="Calibri" w:hAnsi="Calibri" w:cs="Calibri"/>
                <w:b/>
                <w:sz w:val="22"/>
                <w:szCs w:val="22"/>
                <w:lang w:val="pl-PL"/>
              </w:rPr>
            </w:pPr>
            <w:r>
              <w:rPr>
                <w:rFonts w:ascii="Calibri" w:hAnsi="Calibri" w:cs="Calibri"/>
                <w:b/>
                <w:sz w:val="22"/>
                <w:szCs w:val="22"/>
                <w:lang w:val="pl-PL"/>
              </w:rPr>
              <w:t>Komponent</w:t>
            </w:r>
          </w:p>
        </w:tc>
        <w:tc>
          <w:tcPr>
            <w:tcW w:w="7663" w:type="dxa"/>
            <w:tcBorders>
              <w:top w:val="single" w:sz="4" w:space="0" w:color="auto"/>
              <w:left w:val="single" w:sz="4" w:space="0" w:color="auto"/>
              <w:bottom w:val="single" w:sz="4" w:space="0" w:color="auto"/>
              <w:right w:val="single" w:sz="4" w:space="0" w:color="auto"/>
            </w:tcBorders>
            <w:vAlign w:val="center"/>
            <w:hideMark/>
          </w:tcPr>
          <w:p w14:paraId="7255D1F8" w14:textId="77777777" w:rsidR="00936AF0" w:rsidRPr="00F37323" w:rsidRDefault="00936AF0" w:rsidP="00936AF0">
            <w:pPr>
              <w:rPr>
                <w:rFonts w:ascii="Calibri" w:hAnsi="Calibri" w:cs="Calibri"/>
                <w:b/>
                <w:sz w:val="22"/>
                <w:szCs w:val="22"/>
                <w:lang w:val="pl-PL"/>
              </w:rPr>
            </w:pPr>
            <w:r>
              <w:rPr>
                <w:rFonts w:ascii="Calibri" w:hAnsi="Calibri" w:cs="Calibri"/>
                <w:b/>
                <w:sz w:val="22"/>
                <w:szCs w:val="22"/>
                <w:lang w:val="pl-PL"/>
              </w:rPr>
              <w:t>Wymagania minimalne parametry techniczne</w:t>
            </w:r>
          </w:p>
        </w:tc>
      </w:tr>
      <w:tr w:rsidR="00936AF0" w:rsidRPr="00936AF0" w14:paraId="35E6B4A4"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7BD18C15"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Parametry fizyczne</w:t>
            </w:r>
          </w:p>
        </w:tc>
        <w:tc>
          <w:tcPr>
            <w:tcW w:w="7663" w:type="dxa"/>
            <w:tcBorders>
              <w:top w:val="single" w:sz="4" w:space="0" w:color="auto"/>
              <w:left w:val="single" w:sz="4" w:space="0" w:color="auto"/>
              <w:bottom w:val="single" w:sz="4" w:space="0" w:color="auto"/>
              <w:right w:val="single" w:sz="4" w:space="0" w:color="auto"/>
            </w:tcBorders>
            <w:hideMark/>
          </w:tcPr>
          <w:p w14:paraId="6CE25329" w14:textId="39EE7F68"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wymiary urządzenia muszą pozwalać na montaż w szafie rack 19", obudowa nie może być wyższa niż 1U,</w:t>
            </w:r>
          </w:p>
          <w:p w14:paraId="48582574" w14:textId="0D9A7DA5"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zasilanie AC 230V,</w:t>
            </w:r>
          </w:p>
          <w:p w14:paraId="705E695B" w14:textId="7AD2D3A4"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budżet mocy dla portów PoE min.: 65 W,</w:t>
            </w:r>
          </w:p>
          <w:p w14:paraId="2D92B8F7" w14:textId="7CEBE7AB"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maksymalny pobór mocy bez budżetu dla PoE: 60 W,</w:t>
            </w:r>
          </w:p>
          <w:p w14:paraId="30F8050E" w14:textId="70FCCEB4"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lastRenderedPageBreak/>
              <w:t xml:space="preserve">minimalny zakres temperatury pracy: 0-40ᵒC. </w:t>
            </w:r>
          </w:p>
        </w:tc>
      </w:tr>
      <w:tr w:rsidR="00936AF0" w:rsidRPr="00936AF0" w14:paraId="50C35C43"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6EACC726"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lastRenderedPageBreak/>
              <w:t>Interfejsy sieciowe</w:t>
            </w:r>
          </w:p>
        </w:tc>
        <w:tc>
          <w:tcPr>
            <w:tcW w:w="7663" w:type="dxa"/>
            <w:tcBorders>
              <w:top w:val="single" w:sz="4" w:space="0" w:color="auto"/>
              <w:left w:val="single" w:sz="4" w:space="0" w:color="auto"/>
              <w:bottom w:val="single" w:sz="4" w:space="0" w:color="auto"/>
              <w:right w:val="single" w:sz="4" w:space="0" w:color="auto"/>
            </w:tcBorders>
            <w:hideMark/>
          </w:tcPr>
          <w:p w14:paraId="44B6B81C" w14:textId="66470BC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Wymaganym jest aby przełącznik dysponował niezależnymi interfejsami sieciowymi (nie dopuszcza się portów typu combo) w ilości: </w:t>
            </w:r>
          </w:p>
          <w:p w14:paraId="1744308F" w14:textId="61F07809"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8 porty GE RJ-45</w:t>
            </w:r>
            <w:r>
              <w:rPr>
                <w:rFonts w:ascii="Calibri" w:hAnsi="Calibri" w:cs="Calibri"/>
                <w:sz w:val="22"/>
                <w:szCs w:val="22"/>
                <w:lang w:val="pl-PL"/>
              </w:rPr>
              <w:br/>
              <w:t xml:space="preserve">W tym porty PoE w ilości co najmniej: 8, zgodne ze standardem: 802.3af oraz 802.3at. </w:t>
            </w:r>
          </w:p>
          <w:p w14:paraId="5E85DEDB" w14:textId="30C1D63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2 porty GE, SFP.</w:t>
            </w:r>
          </w:p>
        </w:tc>
      </w:tr>
      <w:tr w:rsidR="00936AF0" w:rsidRPr="00936AF0" w14:paraId="3EE0F025"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71B754F9"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Zarządzanie</w:t>
            </w:r>
          </w:p>
        </w:tc>
        <w:tc>
          <w:tcPr>
            <w:tcW w:w="7663" w:type="dxa"/>
            <w:tcBorders>
              <w:top w:val="single" w:sz="4" w:space="0" w:color="auto"/>
              <w:left w:val="single" w:sz="4" w:space="0" w:color="auto"/>
              <w:bottom w:val="single" w:sz="4" w:space="0" w:color="auto"/>
              <w:right w:val="single" w:sz="4" w:space="0" w:color="auto"/>
            </w:tcBorders>
            <w:hideMark/>
          </w:tcPr>
          <w:p w14:paraId="17D82913" w14:textId="367AC39B"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wbudowany 1 port konsoli szeregowej do pełnego zarządzania albo pełne zarządzanie urządzeniem w wymaganym zakresie z poziomu wiersza poleceń (w tym poprzez SSH), graficznego interfejsu przeglądarki (HTTPS) oraz centralnego systemu zarządzania,</w:t>
            </w:r>
          </w:p>
          <w:p w14:paraId="26B9CE90" w14:textId="36C678A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zarządzanie przez: command line (w tym poprzez SSH) oraz poprzez graficzny interfejs z wykorzystaniem przeglądarki (HTTPS),</w:t>
            </w:r>
          </w:p>
          <w:p w14:paraId="597FA23C" w14:textId="770FD86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wsparcie dla SNMP w wersjach 1-3,</w:t>
            </w:r>
          </w:p>
          <w:p w14:paraId="117D6179" w14:textId="35EE3F5D"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zarządzania poprzez dedykowany kontroler przełączników lub system zarządzania, pozwalający na automatyczne wykrywanie, centralne konfigurowanie oraz zarządzanie przełącznikami,</w:t>
            </w:r>
          </w:p>
          <w:p w14:paraId="3292CE4B" w14:textId="10019925"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aktualizacji oprogramowania przez TFTP/FTP oraz za pomocą GUI,</w:t>
            </w:r>
          </w:p>
          <w:p w14:paraId="4CD6D638" w14:textId="285CE96C"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konfiguracja w formie pliku tekstowego umożliwiającego edycję konfiguracji offline,</w:t>
            </w:r>
          </w:p>
          <w:p w14:paraId="34D09B8E" w14:textId="0F73AAEE"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backupu konfiguracji z poziomu GUI jak również z CLI (TFTP/FTP),</w:t>
            </w:r>
          </w:p>
          <w:p w14:paraId="26CFD534" w14:textId="63712601"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definiowania administratorów lokalnie oraz wykorzystanie w tym celu serwerów Radius i TACACS+,</w:t>
            </w:r>
          </w:p>
          <w:p w14:paraId="523C98F9" w14:textId="06CBE163"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definiowania ról administratorów z możliwością określenia trybu dostępu (brak, tylko odczyt, odczyt oraz modyfikacja) do wybranych części konfiguracji,</w:t>
            </w:r>
          </w:p>
          <w:p w14:paraId="2143BE1C" w14:textId="0E32E9B6"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automatycznie wykonywane rewizje konfiguracji. </w:t>
            </w:r>
          </w:p>
        </w:tc>
      </w:tr>
      <w:tr w:rsidR="00936AF0" w:rsidRPr="00936AF0" w14:paraId="5A36F55C"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56698937"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Parametry wydajnościowe</w:t>
            </w:r>
          </w:p>
        </w:tc>
        <w:tc>
          <w:tcPr>
            <w:tcW w:w="7663" w:type="dxa"/>
            <w:tcBorders>
              <w:top w:val="single" w:sz="4" w:space="0" w:color="auto"/>
              <w:left w:val="single" w:sz="4" w:space="0" w:color="auto"/>
              <w:bottom w:val="single" w:sz="4" w:space="0" w:color="auto"/>
              <w:right w:val="single" w:sz="4" w:space="0" w:color="auto"/>
            </w:tcBorders>
            <w:hideMark/>
          </w:tcPr>
          <w:p w14:paraId="158797DC" w14:textId="77777777"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przepustowość urządzenia </w:t>
            </w:r>
          </w:p>
          <w:p w14:paraId="711659E8" w14:textId="692F3BBD"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min. 20 Gbps (pełna prędkość, tzw. wire-speed na wszystkich portach) oraz min. 30 Mpps,</w:t>
            </w:r>
          </w:p>
          <w:p w14:paraId="4467F512" w14:textId="0AB1E8EC"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tablica adresów MAC o pojemności co najmniej 8 k wpisów,</w:t>
            </w:r>
          </w:p>
          <w:p w14:paraId="7CA55AEB" w14:textId="77777777"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opóźnienie wprowadzane przez przełącznik </w:t>
            </w:r>
          </w:p>
          <w:p w14:paraId="10605203" w14:textId="63317D6B"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poniżej 5 mikrosekund. </w:t>
            </w:r>
          </w:p>
        </w:tc>
      </w:tr>
      <w:tr w:rsidR="00936AF0" w:rsidRPr="00936AF0" w14:paraId="6BC84368"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096FB413"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Wymagane funkcje</w:t>
            </w:r>
          </w:p>
        </w:tc>
        <w:tc>
          <w:tcPr>
            <w:tcW w:w="7663" w:type="dxa"/>
            <w:tcBorders>
              <w:top w:val="single" w:sz="4" w:space="0" w:color="auto"/>
              <w:left w:val="single" w:sz="4" w:space="0" w:color="auto"/>
              <w:bottom w:val="single" w:sz="4" w:space="0" w:color="auto"/>
              <w:right w:val="single" w:sz="4" w:space="0" w:color="auto"/>
            </w:tcBorders>
            <w:hideMark/>
          </w:tcPr>
          <w:p w14:paraId="765169F3" w14:textId="66416353"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automatycznej negocjacji prędkości i duplexu dla połączeń,</w:t>
            </w:r>
          </w:p>
          <w:p w14:paraId="266AD406" w14:textId="758C4CD4" w:rsidR="00936AF0" w:rsidRPr="00F37323" w:rsidRDefault="00936AF0">
            <w:pPr>
              <w:pStyle w:val="Akapitzlist"/>
              <w:numPr>
                <w:ilvl w:val="0"/>
                <w:numId w:val="29"/>
              </w:numPr>
              <w:rPr>
                <w:rFonts w:ascii="Calibri" w:hAnsi="Calibri" w:cs="Calibri"/>
                <w:sz w:val="22"/>
                <w:szCs w:val="22"/>
                <w:lang w:val="en-US"/>
              </w:rPr>
            </w:pPr>
            <w:r>
              <w:rPr>
                <w:rFonts w:ascii="Calibri" w:hAnsi="Calibri" w:cs="Calibri"/>
                <w:sz w:val="22"/>
                <w:szCs w:val="22"/>
                <w:lang w:val="en-US"/>
              </w:rPr>
              <w:t>obsługa Jumbo Frames,</w:t>
            </w:r>
          </w:p>
          <w:p w14:paraId="299297CC" w14:textId="226C4D84" w:rsidR="00936AF0" w:rsidRPr="00F37323" w:rsidRDefault="00936AF0">
            <w:pPr>
              <w:pStyle w:val="Akapitzlist"/>
              <w:numPr>
                <w:ilvl w:val="0"/>
                <w:numId w:val="29"/>
              </w:numPr>
              <w:rPr>
                <w:rFonts w:ascii="Calibri" w:hAnsi="Calibri" w:cs="Calibri"/>
                <w:sz w:val="22"/>
                <w:szCs w:val="22"/>
                <w:lang w:val="en-US"/>
              </w:rPr>
            </w:pPr>
            <w:r>
              <w:rPr>
                <w:rFonts w:ascii="Calibri" w:hAnsi="Calibri" w:cs="Calibri"/>
                <w:sz w:val="22"/>
                <w:szCs w:val="22"/>
                <w:lang w:val="en-US"/>
              </w:rPr>
              <w:t>obsługa 802.1d (Spanning Tree), 802.1w (Rapid Spanning Tree), 802.1s (Multiple Spanning Tree),</w:t>
            </w:r>
          </w:p>
          <w:p w14:paraId="7124F8B1" w14:textId="2FE67508"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agregacja portów zgodna ze standardem 802.3ad,</w:t>
            </w:r>
          </w:p>
          <w:p w14:paraId="7B17BF4D" w14:textId="01239837"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obsługa tagowania w standardzie 802.1Q (pula 4096 VLAN ID) z możliwością jednoczesnej (aktywnej) obsługi min. 250 sieci VLAN,</w:t>
            </w:r>
          </w:p>
          <w:p w14:paraId="47BCB6AD" w14:textId="0C007C5F"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obsługa routingu statycznego,</w:t>
            </w:r>
          </w:p>
          <w:p w14:paraId="291BA642" w14:textId="09AFF360"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port-mirroring,</w:t>
            </w:r>
          </w:p>
          <w:p w14:paraId="5A05A206" w14:textId="3E185974"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uwierzytelnianie 802.1x na poziomie portu,</w:t>
            </w:r>
          </w:p>
          <w:p w14:paraId="2F199D69" w14:textId="472C9E18"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uwierzytelnianie 802.1x w oparciu o adres MAC,</w:t>
            </w:r>
          </w:p>
          <w:p w14:paraId="395EDF3B" w14:textId="15B9C83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 ramach 802.1x wsparcie dla dedykowanego VLAN'u dla gości (guest VLAN),</w:t>
            </w:r>
          </w:p>
          <w:p w14:paraId="1D73803D" w14:textId="134313D1"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 ramach 802.1x wsparcie dla urządzeń, które nie obsługują tego protokołu, na podstawie adresu MAC urządzenia,</w:t>
            </w:r>
          </w:p>
          <w:p w14:paraId="1D5BF4BA" w14:textId="07A69A20"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lastRenderedPageBreak/>
              <w:t xml:space="preserve">w ramach 802.1x wsparcie dla dynamicznego przypisywania VLAN. </w:t>
            </w:r>
          </w:p>
        </w:tc>
      </w:tr>
      <w:tr w:rsidR="00936AF0" w:rsidRPr="00936AF0" w14:paraId="3FC794EC" w14:textId="77777777" w:rsidTr="00936AF0">
        <w:tc>
          <w:tcPr>
            <w:tcW w:w="2119" w:type="dxa"/>
            <w:tcBorders>
              <w:top w:val="single" w:sz="4" w:space="0" w:color="auto"/>
              <w:left w:val="single" w:sz="4" w:space="0" w:color="auto"/>
              <w:bottom w:val="single" w:sz="4" w:space="0" w:color="auto"/>
              <w:right w:val="single" w:sz="4" w:space="0" w:color="auto"/>
            </w:tcBorders>
            <w:vAlign w:val="center"/>
          </w:tcPr>
          <w:p w14:paraId="7CCEE3B0" w14:textId="77777777" w:rsidR="00936AF0" w:rsidRPr="00936AF0" w:rsidRDefault="00936AF0" w:rsidP="00936AF0">
            <w:pPr>
              <w:rPr>
                <w:rFonts w:ascii="Calibri" w:hAnsi="Calibri" w:cs="Calibri"/>
                <w:b/>
                <w:bCs/>
                <w:sz w:val="22"/>
                <w:szCs w:val="22"/>
                <w:lang w:val="pl-PL"/>
              </w:rPr>
            </w:pPr>
          </w:p>
          <w:p w14:paraId="2801E155"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 xml:space="preserve">Dodatkowe funkcje urządzenia przy integracji z systemem centralnego zarządzania/ NAC </w:t>
            </w:r>
          </w:p>
        </w:tc>
        <w:tc>
          <w:tcPr>
            <w:tcW w:w="7663" w:type="dxa"/>
            <w:tcBorders>
              <w:top w:val="single" w:sz="4" w:space="0" w:color="auto"/>
              <w:left w:val="single" w:sz="4" w:space="0" w:color="auto"/>
              <w:bottom w:val="single" w:sz="4" w:space="0" w:color="auto"/>
              <w:right w:val="single" w:sz="4" w:space="0" w:color="auto"/>
            </w:tcBorders>
            <w:hideMark/>
          </w:tcPr>
          <w:p w14:paraId="17EE1A34" w14:textId="5039AE42"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Przełączniki muszą obsługiwać zarządzanie przez dedykowany kontroler przełączników lub system centralnego zarządzania, pozwalający na automatyczne wykrywanie i centralne konfigurowanie urządzeń. Zakres zarządzania musi zawierać co najmniej: </w:t>
            </w:r>
          </w:p>
          <w:p w14:paraId="7941EB54" w14:textId="4FDF0619"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centralne zarządzanie konfiguracją urządzenia,</w:t>
            </w:r>
          </w:p>
          <w:p w14:paraId="742C2343" w14:textId="39F9CB0B"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aktualizacja oprogramowania realizowana z systemu centralnego zarządzania,</w:t>
            </w:r>
          </w:p>
          <w:p w14:paraId="4319B5AE" w14:textId="64AB3CD5"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centralne zarządzanie sieciami VLAN,</w:t>
            </w:r>
          </w:p>
          <w:p w14:paraId="748FD620" w14:textId="184999EA"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blokowanie ruchu pomiędzy klientami w ramach jednego VLAN'u,</w:t>
            </w:r>
          </w:p>
          <w:p w14:paraId="717F20B1" w14:textId="5AA25403"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rozpoznawanie urządzeń uzyskujących dostęp do sieci, zarówno stacji klienckich, jak i urządzeń typu drukarki, routery, przełączniki, itp.,</w:t>
            </w:r>
          </w:p>
          <w:p w14:paraId="2D9F16E3" w14:textId="207DE529"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przenoszenie zidentyfikowanych urządzeń do właściwych stref. W przypadku wykrycia urządzenia niepasującego do zaakceptowanych schematów, urządzenie powinno przenieść go do strefy odizolowanej,</w:t>
            </w:r>
          </w:p>
          <w:p w14:paraId="1A7F4475" w14:textId="1308658C"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integrację z systemem kontroli dostępu. Urządzenie musi podejmować decyzje o dostępie na podstawie przynajmniej następujących czynników: nazwy hosta, nazwy użytkownika, typu urządzenia, typu systemu operacyjnego,</w:t>
            </w:r>
          </w:p>
          <w:p w14:paraId="724993C2" w14:textId="18CD2938"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automatyczna detekcja i rekomendacje konfiguracji,</w:t>
            </w:r>
          </w:p>
          <w:p w14:paraId="6E4229C0" w14:textId="11B2FC39"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przesyłanie logów na zewnętrzny serwer syslog,</w:t>
            </w:r>
          </w:p>
          <w:p w14:paraId="2DC4C51C" w14:textId="1A82D700"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funkcja uruchomienia Captive Portalu w celu identyfikacji użytkowników,</w:t>
            </w:r>
          </w:p>
          <w:p w14:paraId="27555501" w14:textId="287EC8A2"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obsługa białych i czarnych list adresów MAC,</w:t>
            </w:r>
          </w:p>
          <w:p w14:paraId="2999D90C" w14:textId="22E3BA15"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wykrywanie aplikacji komunikujących się w sieci,</w:t>
            </w:r>
          </w:p>
          <w:p w14:paraId="3F81826D" w14:textId="15667932"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musi być możliwe redundantne połączenie z elementami zarządzającymi,</w:t>
            </w:r>
          </w:p>
          <w:p w14:paraId="68632D23" w14:textId="0E286A45"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w ramach postępowania koniecznym jest dostarczenie wszystkich licencji niezbędnych do uruchomienia na przełączniku w/w funkcji, polegających na integracji z systemem centralnego zarządzania lub NAC.</w:t>
            </w:r>
          </w:p>
        </w:tc>
      </w:tr>
      <w:tr w:rsidR="00936AF0" w:rsidRPr="00936AF0" w14:paraId="3A874314"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66A8E937"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Funkcje urządzenia przy integracji z systemem centralnego zarządzania lub bezpieczeństwa</w:t>
            </w:r>
          </w:p>
        </w:tc>
        <w:tc>
          <w:tcPr>
            <w:tcW w:w="7663" w:type="dxa"/>
            <w:tcBorders>
              <w:top w:val="single" w:sz="4" w:space="0" w:color="auto"/>
              <w:left w:val="single" w:sz="4" w:space="0" w:color="auto"/>
              <w:bottom w:val="single" w:sz="4" w:space="0" w:color="auto"/>
              <w:right w:val="single" w:sz="4" w:space="0" w:color="auto"/>
            </w:tcBorders>
            <w:vAlign w:val="center"/>
            <w:hideMark/>
          </w:tcPr>
          <w:p w14:paraId="78B2665C" w14:textId="4D932AA8" w:rsidR="00936AF0" w:rsidRPr="00F37323" w:rsidRDefault="00936AF0">
            <w:pPr>
              <w:pStyle w:val="Akapitzlist"/>
              <w:numPr>
                <w:ilvl w:val="0"/>
                <w:numId w:val="29"/>
              </w:numPr>
              <w:rPr>
                <w:rFonts w:ascii="Calibri" w:hAnsi="Calibri" w:cs="Calibri"/>
                <w:sz w:val="22"/>
                <w:szCs w:val="22"/>
                <w:lang w:val="pl-PL"/>
              </w:rPr>
            </w:pPr>
          </w:p>
          <w:p w14:paraId="7907C7C2" w14:textId="21D83D1C"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system musi zapewniać routing statyczny.</w:t>
            </w:r>
          </w:p>
        </w:tc>
      </w:tr>
      <w:tr w:rsidR="00936AF0" w:rsidRPr="00936AF0" w14:paraId="0798C82C"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72253BCA"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Gwarancja oraz wsparcie</w:t>
            </w:r>
          </w:p>
        </w:tc>
        <w:tc>
          <w:tcPr>
            <w:tcW w:w="7663" w:type="dxa"/>
            <w:tcBorders>
              <w:top w:val="single" w:sz="4" w:space="0" w:color="auto"/>
              <w:left w:val="single" w:sz="4" w:space="0" w:color="auto"/>
              <w:bottom w:val="single" w:sz="4" w:space="0" w:color="auto"/>
              <w:right w:val="single" w:sz="4" w:space="0" w:color="auto"/>
            </w:tcBorders>
            <w:hideMark/>
          </w:tcPr>
          <w:p w14:paraId="1973B94F" w14:textId="77777777" w:rsidR="00936AF0" w:rsidRPr="00F37323" w:rsidRDefault="00936AF0">
            <w:pPr>
              <w:pStyle w:val="Akapitzlist"/>
              <w:numPr>
                <w:ilvl w:val="0"/>
                <w:numId w:val="29"/>
              </w:numPr>
              <w:rPr>
                <w:rFonts w:ascii="Calibri" w:hAnsi="Calibri" w:cs="Calibri"/>
                <w:sz w:val="22"/>
                <w:szCs w:val="22"/>
                <w:lang w:val="pl-PL"/>
              </w:rPr>
            </w:pPr>
            <w:r>
              <w:rPr>
                <w:rFonts w:ascii="Calibri" w:hAnsi="Calibri" w:cs="Calibri"/>
                <w:sz w:val="22"/>
                <w:szCs w:val="22"/>
                <w:lang w:val="pl-PL"/>
              </w:rPr>
              <w:t xml:space="preserve">System musi być objęty serwisem gwarancyjnym producenta przez okres 24 miesięcy, polegającym na naprawie lub wymianie urządzenia w przypadku jego wadliwości. W ramach tego serwisu producent musi zapewniać również dostęp do aktualizacji oprogramowania oraz wsparcie techniczne w trybie 24x7. </w:t>
            </w:r>
          </w:p>
        </w:tc>
      </w:tr>
      <w:tr w:rsidR="00936AF0" w:rsidRPr="00936AF0" w14:paraId="187871B8" w14:textId="77777777" w:rsidTr="00936AF0">
        <w:tc>
          <w:tcPr>
            <w:tcW w:w="2119" w:type="dxa"/>
            <w:tcBorders>
              <w:top w:val="single" w:sz="4" w:space="0" w:color="auto"/>
              <w:left w:val="single" w:sz="4" w:space="0" w:color="auto"/>
              <w:bottom w:val="single" w:sz="4" w:space="0" w:color="auto"/>
              <w:right w:val="single" w:sz="4" w:space="0" w:color="auto"/>
            </w:tcBorders>
            <w:vAlign w:val="center"/>
            <w:hideMark/>
          </w:tcPr>
          <w:p w14:paraId="0B43E381" w14:textId="77777777" w:rsidR="00936AF0" w:rsidRPr="00936AF0" w:rsidRDefault="00936AF0" w:rsidP="00936AF0">
            <w:pPr>
              <w:rPr>
                <w:rFonts w:ascii="Calibri" w:hAnsi="Calibri" w:cs="Calibri"/>
                <w:b/>
                <w:bCs/>
                <w:sz w:val="22"/>
                <w:szCs w:val="22"/>
                <w:lang w:val="pl-PL"/>
              </w:rPr>
            </w:pPr>
            <w:r>
              <w:rPr>
                <w:rFonts w:ascii="Calibri" w:hAnsi="Calibri" w:cs="Calibri"/>
                <w:b/>
                <w:bCs/>
                <w:sz w:val="22"/>
                <w:szCs w:val="22"/>
                <w:lang w:val="pl-PL"/>
              </w:rPr>
              <w:t>Inne</w:t>
            </w:r>
          </w:p>
        </w:tc>
        <w:tc>
          <w:tcPr>
            <w:tcW w:w="7663" w:type="dxa"/>
            <w:tcBorders>
              <w:top w:val="single" w:sz="4" w:space="0" w:color="auto"/>
              <w:left w:val="single" w:sz="4" w:space="0" w:color="auto"/>
              <w:bottom w:val="single" w:sz="4" w:space="0" w:color="auto"/>
              <w:right w:val="single" w:sz="4" w:space="0" w:color="auto"/>
            </w:tcBorders>
            <w:hideMark/>
          </w:tcPr>
          <w:p w14:paraId="33B63363" w14:textId="77777777" w:rsidR="00F37323" w:rsidRPr="00936AF0" w:rsidRDefault="00F37323" w:rsidP="00F37323">
            <w:pPr>
              <w:spacing w:line="276" w:lineRule="auto"/>
              <w:rPr>
                <w:rFonts w:ascii="Calibri" w:hAnsi="Calibri" w:cs="Calibri"/>
                <w:sz w:val="22"/>
                <w:szCs w:val="22"/>
                <w:lang w:val="pl-PL"/>
              </w:rPr>
            </w:pPr>
            <w:r>
              <w:rPr>
                <w:rFonts w:ascii="Calibri" w:hAnsi="Calibri" w:cs="Calibri"/>
                <w:sz w:val="22"/>
                <w:szCs w:val="22"/>
                <w:lang w:val="pl-PL"/>
              </w:rPr>
              <w:t>W przypadku gdy oferowana technologia stanowi produkt podwójnego zastosowania w rozumieniu obowiązujących przepisów prawa, Dostawca zobowiązany jest do przedłożenia dokumentu pochodzącego od importera tej technologii, potwierdzającego, że przy jej wprowadzeniu na terytorium Rzeczypospolitej Polskiej zostały dochowane wymogi właściwych przepisów prawa, w szczególności:</w:t>
            </w:r>
          </w:p>
          <w:p w14:paraId="6FDE2245" w14:textId="77777777" w:rsidR="00F37323" w:rsidRPr="00936AF0" w:rsidRDefault="00F37323">
            <w:pPr>
              <w:numPr>
                <w:ilvl w:val="0"/>
                <w:numId w:val="28"/>
              </w:numPr>
              <w:spacing w:line="276" w:lineRule="auto"/>
              <w:rPr>
                <w:rFonts w:ascii="Calibri" w:hAnsi="Calibri" w:cs="Calibri"/>
                <w:sz w:val="22"/>
                <w:szCs w:val="22"/>
                <w:lang w:val="pl-PL"/>
              </w:rPr>
            </w:pPr>
            <w:r>
              <w:rPr>
                <w:rFonts w:ascii="Calibri" w:hAnsi="Calibri" w:cs="Calibri"/>
                <w:sz w:val="22"/>
                <w:szCs w:val="22"/>
                <w:lang w:val="pl-PL"/>
              </w:rPr>
              <w:t>ustawy z dnia 29 listopada 2000 r. o obrocie z zagranicą towarami, technologiami i usługami o znaczeniu strategicznym dla bezpieczeństwa państwa, a także dla utrzymania międzynarodowego pokoju i bezpieczeństwa (t.j. Dz.U. z późn. zm.),</w:t>
            </w:r>
          </w:p>
          <w:p w14:paraId="37D5B1F2" w14:textId="77777777" w:rsidR="00F37323" w:rsidRPr="00936AF0" w:rsidRDefault="00F37323">
            <w:pPr>
              <w:numPr>
                <w:ilvl w:val="0"/>
                <w:numId w:val="28"/>
              </w:numPr>
              <w:spacing w:line="276" w:lineRule="auto"/>
              <w:rPr>
                <w:rFonts w:ascii="Calibri" w:hAnsi="Calibri" w:cs="Calibri"/>
                <w:sz w:val="22"/>
                <w:szCs w:val="22"/>
                <w:lang w:val="pl-PL"/>
              </w:rPr>
            </w:pPr>
            <w:r>
              <w:rPr>
                <w:rFonts w:ascii="Calibri" w:hAnsi="Calibri" w:cs="Calibri"/>
                <w:sz w:val="22"/>
                <w:szCs w:val="22"/>
                <w:lang w:val="pl-PL"/>
              </w:rPr>
              <w:lastRenderedPageBreak/>
              <w:t>przepisów dotyczących wspólnotowego systemu kontroli wywozu, transferu, pośrednictwa i tranzytu w odniesieniu do produktów podwójnego zastosowania.</w:t>
            </w:r>
          </w:p>
          <w:p w14:paraId="1C185494" w14:textId="77777777" w:rsidR="00F37323" w:rsidRDefault="00F37323" w:rsidP="00F37323">
            <w:pPr>
              <w:spacing w:line="276" w:lineRule="auto"/>
              <w:rPr>
                <w:rFonts w:ascii="Calibri" w:hAnsi="Calibri" w:cs="Calibri"/>
                <w:sz w:val="22"/>
                <w:szCs w:val="22"/>
                <w:lang w:val="pl-PL"/>
              </w:rPr>
            </w:pPr>
            <w:r>
              <w:rPr>
                <w:rFonts w:ascii="Calibri" w:hAnsi="Calibri" w:cs="Calibri"/>
                <w:sz w:val="22"/>
                <w:szCs w:val="22"/>
                <w:lang w:val="pl-PL"/>
              </w:rPr>
              <w:t>Dokument powinien jednoznacznie potwierdzać legalność wprowadzenia technologii do obrotu na terytorium RP.</w:t>
            </w:r>
          </w:p>
          <w:p w14:paraId="6C716610" w14:textId="77777777" w:rsidR="00F37323" w:rsidRDefault="00F37323" w:rsidP="00F37323">
            <w:pPr>
              <w:spacing w:line="276" w:lineRule="auto"/>
              <w:rPr>
                <w:rFonts w:ascii="Calibri" w:hAnsi="Calibri" w:cs="Calibri"/>
                <w:sz w:val="22"/>
                <w:szCs w:val="22"/>
                <w:lang w:val="pl-PL"/>
              </w:rPr>
            </w:pPr>
          </w:p>
          <w:p w14:paraId="0B60B7D1" w14:textId="7FAD2473" w:rsidR="00936AF0" w:rsidRPr="00F37323" w:rsidRDefault="00F37323" w:rsidP="00F37323">
            <w:pPr>
              <w:rPr>
                <w:rFonts w:ascii="Calibri" w:hAnsi="Calibri" w:cs="Calibri"/>
                <w:sz w:val="22"/>
                <w:szCs w:val="22"/>
                <w:lang w:val="pl-PL"/>
              </w:rPr>
            </w:pPr>
            <w:r>
              <w:rPr>
                <w:rFonts w:ascii="Calibri" w:hAnsi="Calibri" w:cs="Calibri"/>
                <w:sz w:val="22"/>
                <w:szCs w:val="22"/>
              </w:rPr>
              <w:t>Wykonawca posiada autoryzację producenta w zakresie sprzedaży oferowanych rozwiązań. Zamawiający nie żąda złożenia dokumentu potwierdzającego tę okoliczność wraz z ofertą.</w:t>
            </w:r>
          </w:p>
        </w:tc>
      </w:tr>
    </w:tbl>
    <w:p w14:paraId="0000039E" w14:textId="77777777" w:rsidR="0044605B" w:rsidRPr="00936AF0" w:rsidRDefault="0044605B">
      <w:pPr>
        <w:rPr>
          <w:rFonts w:ascii="Calibri" w:hAnsi="Calibri" w:cs="Calibri"/>
          <w:lang w:val="pl-PL"/>
        </w:rPr>
      </w:pPr>
    </w:p>
    <w:p w14:paraId="0000039F" w14:textId="77777777" w:rsidR="0044605B" w:rsidRPr="00023F6E" w:rsidRDefault="006D749C">
      <w:pPr>
        <w:pStyle w:val="Nagwek2"/>
        <w:numPr>
          <w:ilvl w:val="1"/>
          <w:numId w:val="1"/>
        </w:numPr>
        <w:rPr>
          <w:rFonts w:cs="Calibri"/>
        </w:rPr>
      </w:pPr>
      <w:bookmarkStart w:id="9" w:name="_Toc229478312"/>
      <w:r>
        <w:rPr>
          <w:rFonts w:cs="Calibri"/>
        </w:rPr>
        <w:t>Przełącznik sieciowy – typ 3 – 2 szt.</w:t>
      </w:r>
      <w:bookmarkEnd w:id="9"/>
    </w:p>
    <w:tbl>
      <w:tblPr>
        <w:tblW w:w="9930" w:type="dxa"/>
        <w:tblInd w:w="-289" w:type="dxa"/>
        <w:tblLayout w:type="fixed"/>
        <w:tblLook w:val="0400" w:firstRow="0" w:lastRow="0" w:firstColumn="0" w:lastColumn="0" w:noHBand="0" w:noVBand="1"/>
      </w:tblPr>
      <w:tblGrid>
        <w:gridCol w:w="2127"/>
        <w:gridCol w:w="7803"/>
      </w:tblGrid>
      <w:tr w:rsidR="00F37323" w:rsidRPr="00F37323" w14:paraId="1D79D83C" w14:textId="77777777" w:rsidTr="00F37323">
        <w:trPr>
          <w:trHeight w:val="643"/>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05B98D74" w14:textId="77777777" w:rsidR="00F37323" w:rsidRPr="00F37323" w:rsidRDefault="00F37323" w:rsidP="00F37323">
            <w:pPr>
              <w:rPr>
                <w:rFonts w:ascii="Calibri" w:hAnsi="Calibri" w:cs="Calibri"/>
                <w:sz w:val="22"/>
                <w:szCs w:val="22"/>
                <w:lang w:val="pl-PL"/>
              </w:rPr>
            </w:pPr>
            <w:r>
              <w:rPr>
                <w:rFonts w:ascii="Calibri" w:hAnsi="Calibri" w:cs="Calibri"/>
                <w:b/>
                <w:sz w:val="22"/>
                <w:szCs w:val="22"/>
                <w:lang w:val="pl-PL"/>
              </w:rPr>
              <w:t>Komponent</w:t>
            </w:r>
          </w:p>
        </w:tc>
        <w:tc>
          <w:tcPr>
            <w:tcW w:w="7803" w:type="dxa"/>
            <w:tcBorders>
              <w:top w:val="single" w:sz="4" w:space="0" w:color="000000"/>
              <w:left w:val="single" w:sz="4" w:space="0" w:color="000000"/>
              <w:bottom w:val="single" w:sz="4" w:space="0" w:color="000000"/>
              <w:right w:val="single" w:sz="4" w:space="0" w:color="000000"/>
            </w:tcBorders>
            <w:vAlign w:val="center"/>
            <w:hideMark/>
          </w:tcPr>
          <w:p w14:paraId="3A745F53"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Wymagania minimalne parametry techniczne</w:t>
            </w:r>
          </w:p>
        </w:tc>
      </w:tr>
      <w:tr w:rsidR="00F37323" w:rsidRPr="00F37323" w14:paraId="65F1D800"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66692A8B"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Parametry fizyczne</w:t>
            </w:r>
          </w:p>
        </w:tc>
        <w:tc>
          <w:tcPr>
            <w:tcW w:w="7803" w:type="dxa"/>
            <w:tcBorders>
              <w:top w:val="single" w:sz="4" w:space="0" w:color="000000"/>
              <w:left w:val="single" w:sz="4" w:space="0" w:color="000000"/>
              <w:bottom w:val="single" w:sz="4" w:space="0" w:color="000000"/>
              <w:right w:val="single" w:sz="4" w:space="0" w:color="000000"/>
            </w:tcBorders>
            <w:hideMark/>
          </w:tcPr>
          <w:p w14:paraId="6B9211E7"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Wymiary urządzenia muszą pozwalać na montaż w szafie rack 19", obudowa nie może być wyższa niż 1U.</w:t>
            </w:r>
          </w:p>
          <w:p w14:paraId="5DC5AAF9"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Zasilanie AC 230V.</w:t>
            </w:r>
          </w:p>
          <w:p w14:paraId="033D0D91" w14:textId="305C4258"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Maksymalny pobór mocy: 20 W. Dopuszcza się montaż w szafie rack 19” z zastosowaniem dedykowanego zestawu montażowego objętego dostawą.</w:t>
            </w:r>
          </w:p>
          <w:p w14:paraId="583E37DC" w14:textId="77777777" w:rsidR="00F37323" w:rsidRPr="00F37323" w:rsidRDefault="00F37323">
            <w:pPr>
              <w:numPr>
                <w:ilvl w:val="0"/>
                <w:numId w:val="30"/>
              </w:numPr>
              <w:rPr>
                <w:rFonts w:ascii="Calibri" w:hAnsi="Calibri" w:cs="Calibri"/>
                <w:b/>
                <w:bCs/>
                <w:sz w:val="22"/>
                <w:szCs w:val="22"/>
                <w:lang w:val="pl-PL"/>
              </w:rPr>
            </w:pPr>
            <w:r>
              <w:rPr>
                <w:rFonts w:ascii="Calibri" w:hAnsi="Calibri" w:cs="Calibri"/>
                <w:sz w:val="22"/>
                <w:szCs w:val="22"/>
                <w:lang w:val="pl-PL"/>
              </w:rPr>
              <w:t>Minimalny zakres temperatury pracy: 0-40ᵒC.</w:t>
            </w:r>
          </w:p>
        </w:tc>
      </w:tr>
      <w:tr w:rsidR="00F37323" w:rsidRPr="00F37323" w14:paraId="5EED33C7"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09F86A1F"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Interfejsy sieciowe</w:t>
            </w:r>
          </w:p>
        </w:tc>
        <w:tc>
          <w:tcPr>
            <w:tcW w:w="7803" w:type="dxa"/>
            <w:tcBorders>
              <w:top w:val="single" w:sz="4" w:space="0" w:color="000000"/>
              <w:left w:val="single" w:sz="4" w:space="0" w:color="000000"/>
              <w:bottom w:val="single" w:sz="4" w:space="0" w:color="000000"/>
              <w:right w:val="single" w:sz="4" w:space="0" w:color="000000"/>
            </w:tcBorders>
            <w:hideMark/>
          </w:tcPr>
          <w:p w14:paraId="1A0BCCE1"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Wymaganym jest aby przełącznik dysponował niezależnymi interfejsami sieciowymi (nie dopuszcza się portów typu combo) w ilości:</w:t>
            </w:r>
          </w:p>
          <w:p w14:paraId="51BF8E42" w14:textId="0FDEDE7B"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8 portów GE RJ-45</w:t>
            </w:r>
          </w:p>
          <w:p w14:paraId="3CC14E7F" w14:textId="34E66EDD"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2 porty GE, SFP</w:t>
            </w:r>
          </w:p>
        </w:tc>
      </w:tr>
      <w:tr w:rsidR="00F37323" w:rsidRPr="00F37323" w14:paraId="3735BC68"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4CE84ABC"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Zarządzanie</w:t>
            </w:r>
          </w:p>
        </w:tc>
        <w:tc>
          <w:tcPr>
            <w:tcW w:w="7803" w:type="dxa"/>
            <w:tcBorders>
              <w:top w:val="single" w:sz="4" w:space="0" w:color="000000"/>
              <w:left w:val="single" w:sz="4" w:space="0" w:color="000000"/>
              <w:bottom w:val="single" w:sz="4" w:space="0" w:color="000000"/>
              <w:right w:val="single" w:sz="4" w:space="0" w:color="000000"/>
            </w:tcBorders>
            <w:hideMark/>
          </w:tcPr>
          <w:p w14:paraId="0687E84A" w14:textId="1EAEE30F"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Wbudowany minimum 1 port konsoli szeregowej do pełnego zarządzania albo pełne zarządzanie urządzeniem w wymaganym zakresie z poziomu wiersza poleceń (w tym poprzez SSH), graficznego interfejsu przeglądarki (HTTPS) oraz centralnego systemu zarządzania.</w:t>
            </w:r>
          </w:p>
          <w:p w14:paraId="26E71821"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Zarządzanie przez: command line (w tym poprzez SSH) oraz poprzez graficzny interfejs z wykorzystaniem przeglądarki (HTTPS).</w:t>
            </w:r>
          </w:p>
          <w:p w14:paraId="0A957B24"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Wsparcie dla SNMP w wersjach 1-3</w:t>
            </w:r>
          </w:p>
          <w:p w14:paraId="23A1BCB1" w14:textId="04F9B2DB"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zarządzania poprzez dedykowany kontroler przełączników lub system zarządzania, pozwalający na automatyczne wykrywanie, centralne konfigurowanie oraz zarządzanie przełącznikami.</w:t>
            </w:r>
          </w:p>
          <w:p w14:paraId="0ED09703"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aktualizacji oprogramowania przez TFTP/FTP oraz za pomocą GUI.</w:t>
            </w:r>
          </w:p>
          <w:p w14:paraId="733E1738"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Konfiguracja w formie pliku tekstowego umożliwiającego edycję konfiguracji offline.</w:t>
            </w:r>
          </w:p>
          <w:p w14:paraId="300DA3F9"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backupu konfiguracji z poziomu GUI jak również z CLI (TFTP/FTP).</w:t>
            </w:r>
          </w:p>
          <w:p w14:paraId="16585F33"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definiowania administratorów lokalnie oraz wykorzystanie w tym celu serwerów Radius i TACACS+.</w:t>
            </w:r>
          </w:p>
          <w:p w14:paraId="5748F5E7"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definiowania ról administratorów z możliwością określenia trybu dostępu (brak, tylko odczyt, odczyt oraz modyfikacja) do wybranych części konfiguracji.</w:t>
            </w:r>
          </w:p>
          <w:p w14:paraId="250E789C"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Automatycznie wykonywane rewizje konfiguracji.</w:t>
            </w:r>
          </w:p>
        </w:tc>
      </w:tr>
      <w:tr w:rsidR="00F37323" w:rsidRPr="00F37323" w14:paraId="6AFDD2C0"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2389C36A"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Parametry wydajnościowe</w:t>
            </w:r>
          </w:p>
        </w:tc>
        <w:tc>
          <w:tcPr>
            <w:tcW w:w="7803" w:type="dxa"/>
            <w:tcBorders>
              <w:top w:val="single" w:sz="4" w:space="0" w:color="000000"/>
              <w:left w:val="single" w:sz="4" w:space="0" w:color="000000"/>
              <w:bottom w:val="single" w:sz="4" w:space="0" w:color="000000"/>
              <w:right w:val="single" w:sz="4" w:space="0" w:color="000000"/>
            </w:tcBorders>
            <w:hideMark/>
          </w:tcPr>
          <w:p w14:paraId="771A86FB" w14:textId="458DCCF0"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Przepustowość urządzenia min. 20 Gbps (pełna prędkość, tzw. wire-speed na wszystkich portach) oraz min. 30 Mpps.</w:t>
            </w:r>
          </w:p>
          <w:p w14:paraId="4FB94458"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lastRenderedPageBreak/>
              <w:t>Tablica adresów MAC o pojemności co najmniej 8 k wpisów.</w:t>
            </w:r>
          </w:p>
          <w:p w14:paraId="117FB2DF" w14:textId="6BFBF2CB"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Opóźnienie wprowadzane przez przełącznik poniżej 5 mikrosekund.</w:t>
            </w:r>
          </w:p>
        </w:tc>
      </w:tr>
      <w:tr w:rsidR="00F37323" w:rsidRPr="00F37323" w14:paraId="63F38437"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268B035E"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lastRenderedPageBreak/>
              <w:t>Wymagane funkcje</w:t>
            </w:r>
          </w:p>
        </w:tc>
        <w:tc>
          <w:tcPr>
            <w:tcW w:w="7803" w:type="dxa"/>
            <w:tcBorders>
              <w:top w:val="single" w:sz="4" w:space="0" w:color="000000"/>
              <w:left w:val="single" w:sz="4" w:space="0" w:color="000000"/>
              <w:bottom w:val="single" w:sz="4" w:space="0" w:color="000000"/>
              <w:right w:val="single" w:sz="4" w:space="0" w:color="000000"/>
            </w:tcBorders>
            <w:hideMark/>
          </w:tcPr>
          <w:p w14:paraId="3E0CEB1D"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Funkcja automatycznej negocjacji prędkości i duplexu dla połączeń.</w:t>
            </w:r>
          </w:p>
          <w:p w14:paraId="10A499B2"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Obsługa Jumbo Frames.</w:t>
            </w:r>
          </w:p>
          <w:p w14:paraId="15A8F332" w14:textId="77777777" w:rsidR="00F37323" w:rsidRPr="00F37323" w:rsidRDefault="00F37323">
            <w:pPr>
              <w:numPr>
                <w:ilvl w:val="0"/>
                <w:numId w:val="30"/>
              </w:numPr>
              <w:rPr>
                <w:rFonts w:ascii="Calibri" w:hAnsi="Calibri" w:cs="Calibri"/>
                <w:sz w:val="22"/>
                <w:szCs w:val="22"/>
                <w:lang w:val="en-US"/>
              </w:rPr>
            </w:pPr>
            <w:r>
              <w:rPr>
                <w:rFonts w:ascii="Calibri" w:hAnsi="Calibri" w:cs="Calibri"/>
                <w:sz w:val="22"/>
                <w:szCs w:val="22"/>
                <w:lang w:val="en-US"/>
              </w:rPr>
              <w:t>Obsługa 802.1d (Spanning Tree), 802.1w (Rapid Spanning Tree), 802.1s (Multiple Spanning Tree).</w:t>
            </w:r>
          </w:p>
          <w:p w14:paraId="0D867B1E"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Agregacja portów zgodna ze standardem 802.3ad.</w:t>
            </w:r>
          </w:p>
          <w:p w14:paraId="7B2DD8FB" w14:textId="5E69F9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Obsługa tagowania w standardzie 802.1Q (pula 4096 VLAN ID) z możliwością jednoczesnej (aktywnej) obsługi min. 250 sieci VLAN.</w:t>
            </w:r>
          </w:p>
          <w:p w14:paraId="28EA0008"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Obsługa routingu statycznego.</w:t>
            </w:r>
          </w:p>
          <w:p w14:paraId="34100DA5"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Port-mirroring.</w:t>
            </w:r>
          </w:p>
          <w:p w14:paraId="66E84B81"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Uwierzytelnianie 802.1x na poziomie portu.</w:t>
            </w:r>
          </w:p>
          <w:p w14:paraId="78A58886" w14:textId="4BF170C0"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Uwierzytelnianie 802.1x w oparciu o adres MAC.</w:t>
            </w:r>
          </w:p>
          <w:p w14:paraId="017375C5"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 ramach 802.1x wsparcie dla dedykowanego VLAN'u dla gości (guest VLAN).</w:t>
            </w:r>
          </w:p>
          <w:p w14:paraId="4579A80F" w14:textId="174B2376"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 ramach 802.1x wsparcie dla urządzeń, które nie obsługują tego protokołu, na podstawie adresu MAC urządzenia.</w:t>
            </w:r>
          </w:p>
          <w:p w14:paraId="673128B5" w14:textId="5911C4CB"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W ramach 802.1x wsparcie dla dynamicznego przypisywania VLAN.</w:t>
            </w:r>
          </w:p>
        </w:tc>
      </w:tr>
      <w:tr w:rsidR="00F37323" w:rsidRPr="00F37323" w14:paraId="35D0D6CF"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1024115E"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 xml:space="preserve">Dodatkowe funkcje urządzenia przy integracji </w:t>
            </w:r>
          </w:p>
          <w:p w14:paraId="52BAFF64"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z systemem centralnego zarządzania / NAC</w:t>
            </w:r>
          </w:p>
        </w:tc>
        <w:tc>
          <w:tcPr>
            <w:tcW w:w="7803" w:type="dxa"/>
            <w:tcBorders>
              <w:top w:val="single" w:sz="4" w:space="0" w:color="000000"/>
              <w:left w:val="single" w:sz="4" w:space="0" w:color="000000"/>
              <w:bottom w:val="single" w:sz="4" w:space="0" w:color="000000"/>
              <w:right w:val="single" w:sz="4" w:space="0" w:color="000000"/>
            </w:tcBorders>
            <w:hideMark/>
          </w:tcPr>
          <w:p w14:paraId="6AE47AAA"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 xml:space="preserve">Przełączniki muszą obsługiwać zarządzanie przez dedykowany kontroler przełączników lub system centralnego zarządzania, pozwalający na automatyczne wykrywanie i centralne konfigurowanie urządzeń. Zakres zarządzania musi zawierać co najmniej: </w:t>
            </w:r>
          </w:p>
          <w:p w14:paraId="5A42B5B5" w14:textId="15C12504"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centralne zarządzanie konfiguracją urządzenia,</w:t>
            </w:r>
          </w:p>
          <w:p w14:paraId="4C41B499" w14:textId="30CB3F0E"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aktualizacja oprogramowania realizowana z systemu centralnego zarządzania,</w:t>
            </w:r>
          </w:p>
          <w:p w14:paraId="0FBA353D" w14:textId="05489AC8"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centralne zarządzanie sieciami VLAN,</w:t>
            </w:r>
          </w:p>
          <w:p w14:paraId="75992EF6" w14:textId="76A1E950"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blokowanie ruchu pomiędzy klientami w ramach jednego VLAN'u,</w:t>
            </w:r>
          </w:p>
          <w:p w14:paraId="10AB905A" w14:textId="2C796C7D"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rozpoznawanie urządzeń uzyskujących dostęp do sieci, zarówno stacji klienckich, jak i urządzeń typu drukarki, routery, przełączniki, itp.</w:t>
            </w:r>
          </w:p>
          <w:p w14:paraId="20CD7F46" w14:textId="46D117AD"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przenoszenie zidentyfikowanych urządzeń do właściwych stref. W przypadku wykrycia urządzenia niepasującego do zaakceptowanych schematów, urządzenie powinno przenieść go do strefy odizolowanej,</w:t>
            </w:r>
          </w:p>
          <w:p w14:paraId="06986B36" w14:textId="5AEC8CED"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integrację z systemem kontroli dostępu. Urządzenie musi podejmować decyzje o dostępie na podstawie przynajmniej następujących czynników: nazwy hosta, nazwy użytkownika, typu urządzenia, typu systemu operacyjnego,</w:t>
            </w:r>
          </w:p>
          <w:p w14:paraId="2055B4BC" w14:textId="280D76AD"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automatyczna detekcja i rekomendacje konfiguracji,</w:t>
            </w:r>
          </w:p>
          <w:p w14:paraId="13035A08" w14:textId="2317CABA"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przesyłanie logów na zewnętrzny serwer syslog,</w:t>
            </w:r>
          </w:p>
          <w:p w14:paraId="02A18E32" w14:textId="572208D8"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funkcja uruchomienia Captive Portalu w celu identyfikacji użytkowników,</w:t>
            </w:r>
          </w:p>
          <w:p w14:paraId="0AD8CADE" w14:textId="3256A9CB"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obsługa białych i czarnych list adresów MAC,</w:t>
            </w:r>
          </w:p>
          <w:p w14:paraId="39EB4AB1" w14:textId="7EE322E9" w:rsidR="00F37323" w:rsidRPr="00F37323" w:rsidRDefault="00F37323">
            <w:pPr>
              <w:pStyle w:val="Akapitzlist"/>
              <w:numPr>
                <w:ilvl w:val="1"/>
                <w:numId w:val="30"/>
              </w:numPr>
              <w:rPr>
                <w:rFonts w:ascii="Calibri" w:hAnsi="Calibri" w:cs="Calibri"/>
                <w:sz w:val="22"/>
                <w:szCs w:val="22"/>
                <w:lang w:val="pl-PL"/>
              </w:rPr>
            </w:pPr>
            <w:r>
              <w:rPr>
                <w:rFonts w:ascii="Calibri" w:hAnsi="Calibri" w:cs="Calibri"/>
                <w:sz w:val="22"/>
                <w:szCs w:val="22"/>
                <w:lang w:val="pl-PL"/>
              </w:rPr>
              <w:t>wykrywanie aplikacji komunikujących się w sieci.</w:t>
            </w:r>
          </w:p>
          <w:p w14:paraId="129D40EF"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Musi być możliwe redundantne połączenie z elementami zarządzającymi.</w:t>
            </w:r>
          </w:p>
        </w:tc>
      </w:tr>
      <w:tr w:rsidR="00F37323" w:rsidRPr="00F37323" w14:paraId="53CACA2E"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27CD8FB4"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Funkcje urządzenia przy integracji</w:t>
            </w:r>
          </w:p>
          <w:p w14:paraId="140EB154"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 xml:space="preserve"> z systemem centralnego </w:t>
            </w:r>
            <w:r>
              <w:rPr>
                <w:rFonts w:ascii="Calibri" w:hAnsi="Calibri" w:cs="Calibri"/>
                <w:b/>
                <w:bCs/>
                <w:sz w:val="22"/>
                <w:szCs w:val="22"/>
                <w:lang w:val="pl-PL"/>
              </w:rPr>
              <w:lastRenderedPageBreak/>
              <w:t>zarządzania lub bezpieczeństwa</w:t>
            </w:r>
          </w:p>
        </w:tc>
        <w:tc>
          <w:tcPr>
            <w:tcW w:w="7803" w:type="dxa"/>
            <w:tcBorders>
              <w:top w:val="single" w:sz="4" w:space="0" w:color="000000"/>
              <w:left w:val="single" w:sz="4" w:space="0" w:color="000000"/>
              <w:bottom w:val="single" w:sz="4" w:space="0" w:color="000000"/>
              <w:right w:val="single" w:sz="4" w:space="0" w:color="000000"/>
            </w:tcBorders>
            <w:vAlign w:val="center"/>
            <w:hideMark/>
          </w:tcPr>
          <w:p w14:paraId="12B59B31" w14:textId="22943FB8" w:rsidR="00F37323" w:rsidRPr="00F37323" w:rsidRDefault="00F37323">
            <w:pPr>
              <w:numPr>
                <w:ilvl w:val="0"/>
                <w:numId w:val="30"/>
              </w:numPr>
              <w:rPr>
                <w:rFonts w:ascii="Calibri" w:hAnsi="Calibri" w:cs="Calibri"/>
                <w:sz w:val="22"/>
                <w:szCs w:val="22"/>
                <w:lang w:val="pl-PL"/>
              </w:rPr>
            </w:pPr>
          </w:p>
          <w:p w14:paraId="5C0F58B4" w14:textId="2C5D487E"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System musi zapewniać routing statyczny.</w:t>
            </w:r>
          </w:p>
        </w:tc>
      </w:tr>
      <w:tr w:rsidR="00F37323" w:rsidRPr="00F37323" w14:paraId="50BD2FB3"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25BB29EB"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 xml:space="preserve">Gwarancja </w:t>
            </w:r>
          </w:p>
          <w:p w14:paraId="1843E2BB"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oraz wsparcie</w:t>
            </w:r>
          </w:p>
        </w:tc>
        <w:tc>
          <w:tcPr>
            <w:tcW w:w="7803" w:type="dxa"/>
            <w:tcBorders>
              <w:top w:val="single" w:sz="4" w:space="0" w:color="000000"/>
              <w:left w:val="single" w:sz="4" w:space="0" w:color="000000"/>
              <w:bottom w:val="single" w:sz="4" w:space="0" w:color="000000"/>
              <w:right w:val="single" w:sz="4" w:space="0" w:color="000000"/>
            </w:tcBorders>
            <w:vAlign w:val="center"/>
            <w:hideMark/>
          </w:tcPr>
          <w:p w14:paraId="7F5DE8E9" w14:textId="77777777" w:rsidR="00F37323" w:rsidRPr="00F37323" w:rsidRDefault="00F37323">
            <w:pPr>
              <w:numPr>
                <w:ilvl w:val="0"/>
                <w:numId w:val="30"/>
              </w:numPr>
              <w:rPr>
                <w:rFonts w:ascii="Calibri" w:hAnsi="Calibri" w:cs="Calibri"/>
                <w:sz w:val="22"/>
                <w:szCs w:val="22"/>
                <w:lang w:val="pl-PL"/>
              </w:rPr>
            </w:pPr>
            <w:r>
              <w:rPr>
                <w:rFonts w:ascii="Calibri" w:hAnsi="Calibri" w:cs="Calibri"/>
                <w:sz w:val="22"/>
                <w:szCs w:val="22"/>
                <w:lang w:val="pl-PL"/>
              </w:rPr>
              <w:t xml:space="preserve">System musi być objęty serwisem gwarancyjnym producenta przez okres 24 miesięcy, polegającym na naprawie lub wymianie urządzenia w przypadku jego wadliwości. </w:t>
            </w:r>
          </w:p>
        </w:tc>
      </w:tr>
      <w:tr w:rsidR="00F37323" w:rsidRPr="00F37323" w14:paraId="36C91BA4" w14:textId="77777777" w:rsidTr="00F37323">
        <w:trPr>
          <w:trHeight w:val="745"/>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04DBC604" w14:textId="77777777" w:rsidR="00F37323" w:rsidRPr="00F37323" w:rsidRDefault="00F37323" w:rsidP="00F37323">
            <w:pPr>
              <w:rPr>
                <w:rFonts w:ascii="Calibri" w:hAnsi="Calibri" w:cs="Calibri"/>
                <w:b/>
                <w:bCs/>
                <w:sz w:val="22"/>
                <w:szCs w:val="22"/>
                <w:lang w:val="pl-PL"/>
              </w:rPr>
            </w:pPr>
            <w:r>
              <w:rPr>
                <w:rFonts w:ascii="Calibri" w:hAnsi="Calibri" w:cs="Calibri"/>
                <w:b/>
                <w:bCs/>
                <w:sz w:val="22"/>
                <w:szCs w:val="22"/>
                <w:lang w:val="pl-PL"/>
              </w:rPr>
              <w:t>Dodatkowe wymagania</w:t>
            </w:r>
          </w:p>
        </w:tc>
        <w:tc>
          <w:tcPr>
            <w:tcW w:w="7803" w:type="dxa"/>
            <w:tcBorders>
              <w:top w:val="single" w:sz="4" w:space="0" w:color="000000"/>
              <w:left w:val="single" w:sz="4" w:space="0" w:color="000000"/>
              <w:bottom w:val="single" w:sz="4" w:space="0" w:color="000000"/>
              <w:right w:val="single" w:sz="4" w:space="0" w:color="000000"/>
            </w:tcBorders>
            <w:vAlign w:val="center"/>
            <w:hideMark/>
          </w:tcPr>
          <w:p w14:paraId="4FBAFA3C" w14:textId="77777777" w:rsidR="00F37323" w:rsidRPr="00936AF0" w:rsidRDefault="00F37323" w:rsidP="00F37323">
            <w:pPr>
              <w:spacing w:line="276" w:lineRule="auto"/>
              <w:rPr>
                <w:rFonts w:ascii="Calibri" w:hAnsi="Calibri" w:cs="Calibri"/>
                <w:sz w:val="22"/>
                <w:szCs w:val="22"/>
                <w:lang w:val="pl-PL"/>
              </w:rPr>
            </w:pPr>
            <w:r>
              <w:rPr>
                <w:rFonts w:ascii="Calibri" w:hAnsi="Calibri" w:cs="Calibri"/>
                <w:sz w:val="22"/>
                <w:szCs w:val="22"/>
                <w:lang w:val="pl-PL"/>
              </w:rPr>
              <w:t>W przypadku gdy oferowana technologia stanowi produkt podwójnego zastosowania w rozumieniu obowiązujących przepisów prawa, Dostawca zobowiązany jest do przedłożenia dokumentu pochodzącego od importera tej technologii, potwierdzającego, że przy jej wprowadzeniu na terytorium Rzeczypospolitej Polskiej zostały dochowane wymogi właściwych przepisów prawa, w szczególności:</w:t>
            </w:r>
          </w:p>
          <w:p w14:paraId="531E9F25" w14:textId="77777777" w:rsidR="00F37323" w:rsidRPr="00936AF0" w:rsidRDefault="00F37323">
            <w:pPr>
              <w:numPr>
                <w:ilvl w:val="0"/>
                <w:numId w:val="28"/>
              </w:numPr>
              <w:spacing w:line="276" w:lineRule="auto"/>
              <w:rPr>
                <w:rFonts w:ascii="Calibri" w:hAnsi="Calibri" w:cs="Calibri"/>
                <w:sz w:val="22"/>
                <w:szCs w:val="22"/>
                <w:lang w:val="pl-PL"/>
              </w:rPr>
            </w:pPr>
            <w:r>
              <w:rPr>
                <w:rFonts w:ascii="Calibri" w:hAnsi="Calibri" w:cs="Calibri"/>
                <w:sz w:val="22"/>
                <w:szCs w:val="22"/>
                <w:lang w:val="pl-PL"/>
              </w:rPr>
              <w:t>ustawy z dnia 29 listopada 2000 r. o obrocie z zagranicą towarami, technologiami i usługami o znaczeniu strategicznym dla bezpieczeństwa państwa, a także dla utrzymania międzynarodowego pokoju i bezpieczeństwa (t.j. Dz.U. z późn. zm.),</w:t>
            </w:r>
          </w:p>
          <w:p w14:paraId="58CC35FE" w14:textId="77777777" w:rsidR="00F37323" w:rsidRPr="00936AF0" w:rsidRDefault="00F37323">
            <w:pPr>
              <w:numPr>
                <w:ilvl w:val="0"/>
                <w:numId w:val="28"/>
              </w:numPr>
              <w:spacing w:line="276" w:lineRule="auto"/>
              <w:rPr>
                <w:rFonts w:ascii="Calibri" w:hAnsi="Calibri" w:cs="Calibri"/>
                <w:sz w:val="22"/>
                <w:szCs w:val="22"/>
                <w:lang w:val="pl-PL"/>
              </w:rPr>
            </w:pPr>
            <w:r>
              <w:rPr>
                <w:rFonts w:ascii="Calibri" w:hAnsi="Calibri" w:cs="Calibri"/>
                <w:sz w:val="22"/>
                <w:szCs w:val="22"/>
                <w:lang w:val="pl-PL"/>
              </w:rPr>
              <w:t>przepisów dotyczących wspólnotowego systemu kontroli wywozu, transferu, pośrednictwa i tranzytu w odniesieniu do produktów podwójnego zastosowania.</w:t>
            </w:r>
          </w:p>
          <w:p w14:paraId="2D402C2A" w14:textId="77777777" w:rsidR="00F37323" w:rsidRDefault="00F37323" w:rsidP="00F37323">
            <w:pPr>
              <w:spacing w:line="276" w:lineRule="auto"/>
              <w:rPr>
                <w:rFonts w:ascii="Calibri" w:hAnsi="Calibri" w:cs="Calibri"/>
                <w:sz w:val="22"/>
                <w:szCs w:val="22"/>
                <w:lang w:val="pl-PL"/>
              </w:rPr>
            </w:pPr>
            <w:r>
              <w:rPr>
                <w:rFonts w:ascii="Calibri" w:hAnsi="Calibri" w:cs="Calibri"/>
                <w:sz w:val="22"/>
                <w:szCs w:val="22"/>
                <w:lang w:val="pl-PL"/>
              </w:rPr>
              <w:t>Dokument powinien jednoznacznie potwierdzać legalność wprowadzenia technologii do obrotu na terytorium RP.</w:t>
            </w:r>
          </w:p>
          <w:p w14:paraId="11EB0766" w14:textId="77777777" w:rsidR="00F37323" w:rsidRDefault="00F37323" w:rsidP="00F37323">
            <w:pPr>
              <w:spacing w:line="276" w:lineRule="auto"/>
              <w:rPr>
                <w:rFonts w:ascii="Calibri" w:hAnsi="Calibri" w:cs="Calibri"/>
                <w:sz w:val="22"/>
                <w:szCs w:val="22"/>
                <w:lang w:val="pl-PL"/>
              </w:rPr>
            </w:pPr>
          </w:p>
          <w:p w14:paraId="32350337" w14:textId="11B2CAAA" w:rsidR="00F37323" w:rsidRPr="00F37323" w:rsidRDefault="00F37323" w:rsidP="00F37323">
            <w:pPr>
              <w:ind w:left="360"/>
              <w:rPr>
                <w:rFonts w:ascii="Calibri" w:hAnsi="Calibri" w:cs="Calibri"/>
                <w:sz w:val="22"/>
                <w:szCs w:val="22"/>
                <w:lang w:val="pl-PL"/>
              </w:rPr>
            </w:pPr>
            <w:r>
              <w:rPr>
                <w:rFonts w:ascii="Calibri" w:hAnsi="Calibri" w:cs="Calibri"/>
                <w:sz w:val="22"/>
                <w:szCs w:val="22"/>
              </w:rPr>
              <w:t>Wykonawca posiada autoryzację producenta w zakresie sprzedaży oferowanych rozwiązań. Zamawiający nie żąda złożenia dokumentu potwierdzającego tę okoliczność wraz z ofertą.</w:t>
            </w:r>
          </w:p>
        </w:tc>
      </w:tr>
    </w:tbl>
    <w:bookmarkStart w:id="10" w:name="_Toc229478313"/>
    <w:p w14:paraId="000003F6" w14:textId="49E66837" w:rsidR="0044605B" w:rsidRPr="00023F6E" w:rsidRDefault="00000000">
      <w:pPr>
        <w:pStyle w:val="Nagwek2"/>
        <w:numPr>
          <w:ilvl w:val="1"/>
          <w:numId w:val="1"/>
        </w:numPr>
        <w:rPr>
          <w:rFonts w:cs="Calibri"/>
        </w:rPr>
      </w:pPr>
      <w:sdt>
        <w:sdtPr>
          <w:rPr>
            <w:rFonts w:cs="Calibri"/>
          </w:rPr>
          <w:tag w:val="goog_rdk_32"/>
          <w:id w:val="-2080907831"/>
        </w:sdtPr>
        <w:sdtContent/>
      </w:sdt>
      <w:r>
        <w:rPr>
          <w:rFonts w:cs="Calibri"/>
        </w:rPr>
        <w:t>Instalacja i konfiguracja przełączników, wdrożenie segmentacji VLAN</w:t>
      </w:r>
      <w:bookmarkEnd w:id="10"/>
      <w:r>
        <w:rPr>
          <w:rFonts w:cs="Calibri"/>
        </w:rPr>
        <w:t xml:space="preserve"> </w:t>
      </w:r>
    </w:p>
    <w:tbl>
      <w:tblPr>
        <w:tblStyle w:val="afff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44605B" w:rsidRPr="00023F6E" w14:paraId="1C2B61EB" w14:textId="77777777">
        <w:tc>
          <w:tcPr>
            <w:tcW w:w="9356" w:type="dxa"/>
          </w:tcPr>
          <w:p w14:paraId="000003F7" w14:textId="77777777" w:rsidR="0044605B" w:rsidRPr="00023F6E" w:rsidRDefault="006D749C">
            <w:pPr>
              <w:spacing w:line="276" w:lineRule="auto"/>
              <w:jc w:val="center"/>
              <w:rPr>
                <w:rFonts w:ascii="Calibri" w:eastAsia="Calibri" w:hAnsi="Calibri" w:cs="Calibri"/>
                <w:b/>
                <w:sz w:val="20"/>
                <w:szCs w:val="20"/>
              </w:rPr>
            </w:pPr>
            <w:r>
              <w:rPr>
                <w:rFonts w:ascii="Calibri" w:eastAsia="Calibri" w:hAnsi="Calibri" w:cs="Calibri"/>
                <w:b/>
                <w:sz w:val="20"/>
                <w:szCs w:val="20"/>
              </w:rPr>
              <w:t>Instalacja i wdrożenie</w:t>
            </w:r>
          </w:p>
        </w:tc>
      </w:tr>
      <w:tr w:rsidR="0044605B" w:rsidRPr="00023F6E" w14:paraId="47582573" w14:textId="77777777">
        <w:tc>
          <w:tcPr>
            <w:tcW w:w="9356" w:type="dxa"/>
          </w:tcPr>
          <w:p w14:paraId="000003F8" w14:textId="77777777" w:rsidR="0044605B" w:rsidRPr="00023F6E" w:rsidRDefault="006D749C">
            <w:p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 ramach wdrożenia Wykonawca zobowiązany jest do:</w:t>
            </w:r>
          </w:p>
          <w:p w14:paraId="000003F9" w14:textId="77777777" w:rsidR="0044605B" w:rsidRPr="00023F6E" w:rsidRDefault="006D749C">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Dostawy urządzeń do wskazanej lokalizacji,</w:t>
            </w:r>
          </w:p>
          <w:p w14:paraId="68B01847" w14:textId="1C75C19D" w:rsidR="00491DA8" w:rsidRPr="00023F6E" w:rsidRDefault="00491DA8">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Wykonawca opracuje projekt logicznej segmentacji VLAN w zakresie objętym niniejszym zamówieniem, w oparciu o przekazane przez Zamawiającego informacje,</w:t>
            </w:r>
          </w:p>
          <w:p w14:paraId="000003FB" w14:textId="77777777" w:rsidR="0044605B" w:rsidRPr="00023F6E" w:rsidRDefault="006D749C">
            <w:pPr>
              <w:numPr>
                <w:ilvl w:val="0"/>
                <w:numId w:val="2"/>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Montażu i przeprowadzenia podstawowej konfiguracji urządzeń:</w:t>
            </w:r>
          </w:p>
          <w:p w14:paraId="000003FC"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ustawienie podstawowych parametrów pracy urządzeń, aktualizację firmware, podłączenie do sieci energetycznej i logicznej, itp.</w:t>
            </w:r>
          </w:p>
          <w:p w14:paraId="000003FD" w14:textId="77777777" w:rsidR="0044605B" w:rsidRPr="00023F6E" w:rsidRDefault="006D749C">
            <w:pPr>
              <w:numPr>
                <w:ilvl w:val="0"/>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Konfiguracj</w:t>
            </w:r>
            <w:r>
              <w:rPr>
                <w:rFonts w:ascii="Calibri" w:hAnsi="Calibri" w:cs="Calibri"/>
                <w:color w:val="000000"/>
                <w:sz w:val="20"/>
                <w:szCs w:val="20"/>
              </w:rPr>
              <w:t>i</w:t>
            </w:r>
            <w:r>
              <w:rPr>
                <w:rFonts w:ascii="Calibri" w:eastAsia="Calibri" w:hAnsi="Calibri" w:cs="Calibri"/>
                <w:color w:val="000000"/>
                <w:sz w:val="20"/>
                <w:szCs w:val="20"/>
              </w:rPr>
              <w:t xml:space="preserve"> połączeń pomiędzy przełącznikami sieci LAN</w:t>
            </w:r>
          </w:p>
          <w:p w14:paraId="000003FE" w14:textId="6824F006" w:rsidR="0044605B" w:rsidRPr="00023F6E" w:rsidRDefault="006D749C">
            <w:pPr>
              <w:numPr>
                <w:ilvl w:val="0"/>
                <w:numId w:val="2"/>
              </w:numPr>
              <w:spacing w:line="276" w:lineRule="auto"/>
              <w:rPr>
                <w:rFonts w:ascii="Calibri" w:eastAsia="Calibri" w:hAnsi="Calibri" w:cs="Calibri"/>
                <w:color w:val="000000"/>
                <w:sz w:val="20"/>
                <w:szCs w:val="20"/>
              </w:rPr>
            </w:pPr>
            <w:r>
              <w:rPr>
                <w:rFonts w:ascii="Calibri" w:eastAsia="Calibri" w:hAnsi="Calibri" w:cs="Calibri"/>
                <w:color w:val="000000"/>
                <w:sz w:val="20"/>
                <w:szCs w:val="20"/>
              </w:rPr>
              <w:t>Konfiguracj</w:t>
            </w:r>
            <w:r>
              <w:rPr>
                <w:rFonts w:ascii="Calibri" w:hAnsi="Calibri" w:cs="Calibri"/>
                <w:color w:val="000000"/>
                <w:sz w:val="20"/>
                <w:szCs w:val="20"/>
              </w:rPr>
              <w:t>i</w:t>
            </w:r>
            <w:r>
              <w:rPr>
                <w:rFonts w:ascii="Calibri" w:eastAsia="Calibri" w:hAnsi="Calibri" w:cs="Calibri"/>
                <w:color w:val="000000"/>
                <w:sz w:val="20"/>
                <w:szCs w:val="20"/>
              </w:rPr>
              <w:t xml:space="preserve"> sieci wirtualnych VLAN – taka liczba sieci wirtualnych, aby odseparować różne typy ruchu, ale nie mniej niż:</w:t>
            </w:r>
          </w:p>
          <w:p w14:paraId="000003FF"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VLAN Pracowniczy – 3 szt.</w:t>
            </w:r>
          </w:p>
          <w:p w14:paraId="00000400"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VLAN Serwer</w:t>
            </w:r>
          </w:p>
          <w:p w14:paraId="00000401"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VLAN Drukarki  </w:t>
            </w:r>
          </w:p>
          <w:p w14:paraId="00000402"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VLAN Klienta / Gościa</w:t>
            </w:r>
          </w:p>
          <w:p w14:paraId="00000403"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VLAN telefonów VoIP</w:t>
            </w:r>
          </w:p>
          <w:p w14:paraId="00000404" w14:textId="77777777" w:rsidR="0044605B" w:rsidRPr="00023F6E" w:rsidRDefault="006D749C">
            <w:pPr>
              <w:numPr>
                <w:ilvl w:val="1"/>
                <w:numId w:val="2"/>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VLAN monitoringu wizyjnego</w:t>
            </w:r>
          </w:p>
          <w:p w14:paraId="00000405" w14:textId="77777777" w:rsidR="0044605B" w:rsidRPr="00023F6E" w:rsidRDefault="006D749C">
            <w:pPr>
              <w:numPr>
                <w:ilvl w:val="0"/>
                <w:numId w:val="2"/>
              </w:numPr>
              <w:spacing w:line="276" w:lineRule="auto"/>
              <w:rPr>
                <w:rFonts w:ascii="Calibri" w:eastAsia="Calibri" w:hAnsi="Calibri" w:cs="Calibri"/>
                <w:color w:val="000000"/>
                <w:sz w:val="20"/>
                <w:szCs w:val="20"/>
              </w:rPr>
            </w:pPr>
            <w:r>
              <w:rPr>
                <w:rFonts w:ascii="Calibri" w:eastAsia="Calibri" w:hAnsi="Calibri" w:cs="Calibri"/>
                <w:color w:val="000000"/>
                <w:sz w:val="20"/>
                <w:szCs w:val="20"/>
              </w:rPr>
              <w:lastRenderedPageBreak/>
              <w:t>Sprawdzenia poprawności działania urządzeń po konfiguracji.</w:t>
            </w:r>
          </w:p>
          <w:p w14:paraId="00000406" w14:textId="77777777" w:rsidR="0044605B" w:rsidRPr="00023F6E" w:rsidRDefault="006D749C">
            <w:pPr>
              <w:numPr>
                <w:ilvl w:val="0"/>
                <w:numId w:val="2"/>
              </w:numPr>
              <w:spacing w:line="276" w:lineRule="auto"/>
              <w:rPr>
                <w:rFonts w:ascii="Calibri" w:eastAsia="Calibri" w:hAnsi="Calibri" w:cs="Calibri"/>
                <w:color w:val="000000"/>
                <w:sz w:val="20"/>
                <w:szCs w:val="20"/>
              </w:rPr>
            </w:pPr>
            <w:r>
              <w:rPr>
                <w:rFonts w:ascii="Calibri" w:eastAsia="Calibri" w:hAnsi="Calibri" w:cs="Calibri"/>
                <w:color w:val="000000"/>
                <w:sz w:val="20"/>
                <w:szCs w:val="20"/>
              </w:rPr>
              <w:t>Weryfikacji komunikacji między VLAN-ami zgodnie z założeniami bezpieczeństwa.</w:t>
            </w:r>
          </w:p>
          <w:p w14:paraId="00000407" w14:textId="77777777" w:rsidR="0044605B" w:rsidRPr="00023F6E" w:rsidRDefault="006D749C">
            <w:pPr>
              <w:numPr>
                <w:ilvl w:val="0"/>
                <w:numId w:val="2"/>
              </w:numPr>
              <w:spacing w:line="276" w:lineRule="auto"/>
              <w:rPr>
                <w:rFonts w:ascii="Calibri" w:eastAsia="Calibri" w:hAnsi="Calibri" w:cs="Calibri"/>
                <w:color w:val="000000"/>
                <w:sz w:val="20"/>
                <w:szCs w:val="20"/>
              </w:rPr>
            </w:pPr>
            <w:r>
              <w:rPr>
                <w:rFonts w:ascii="Calibri" w:eastAsia="Calibri" w:hAnsi="Calibri" w:cs="Calibri"/>
                <w:color w:val="000000"/>
                <w:sz w:val="20"/>
                <w:szCs w:val="20"/>
              </w:rPr>
              <w:t>Sporządzenia dokumentacji powykonawczej zawierającej konfigurację urządzeń, schemat sieci i przyjęte polityki bezpieczeństwa i przekazania dokumentacji Zamawiającemu.</w:t>
            </w:r>
          </w:p>
          <w:p w14:paraId="00000408" w14:textId="77777777" w:rsidR="0044605B" w:rsidRPr="00023F6E" w:rsidRDefault="0044605B">
            <w:pPr>
              <w:spacing w:line="276" w:lineRule="auto"/>
              <w:ind w:left="437"/>
              <w:rPr>
                <w:rFonts w:ascii="Calibri" w:eastAsia="Calibri" w:hAnsi="Calibri" w:cs="Calibri"/>
                <w:color w:val="000000"/>
                <w:sz w:val="20"/>
                <w:szCs w:val="20"/>
              </w:rPr>
            </w:pPr>
          </w:p>
          <w:p w14:paraId="00000409" w14:textId="77777777" w:rsidR="0044605B" w:rsidRPr="00023F6E" w:rsidRDefault="006D749C">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Oferent w zakresie przedmiotu zamówienia musi uwzględnić czas pracy inżyniera, na potrzeby uruchomienia urządzenia w siedzibie zamawiającego. </w:t>
            </w:r>
          </w:p>
          <w:p w14:paraId="0000040A" w14:textId="77777777" w:rsidR="0044605B" w:rsidRPr="00023F6E" w:rsidRDefault="0044605B">
            <w:pPr>
              <w:spacing w:line="276" w:lineRule="auto"/>
              <w:rPr>
                <w:rFonts w:ascii="Calibri" w:eastAsia="Calibri" w:hAnsi="Calibri" w:cs="Calibri"/>
                <w:color w:val="000000"/>
                <w:sz w:val="20"/>
                <w:szCs w:val="20"/>
              </w:rPr>
            </w:pPr>
          </w:p>
          <w:p w14:paraId="0000040B" w14:textId="77777777" w:rsidR="0044605B" w:rsidRPr="00023F6E" w:rsidRDefault="006D749C">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Z uwagi na typ pracy urzędu, wykonywane prace nie mogą powodować problemów w dostępności do systemu komputerowego Zamawiającego. </w:t>
            </w:r>
          </w:p>
          <w:p w14:paraId="0000040C" w14:textId="77777777" w:rsidR="0044605B" w:rsidRPr="00023F6E" w:rsidRDefault="0044605B">
            <w:pPr>
              <w:spacing w:line="276" w:lineRule="auto"/>
              <w:rPr>
                <w:rFonts w:ascii="Calibri" w:eastAsia="Calibri" w:hAnsi="Calibri" w:cs="Calibri"/>
                <w:color w:val="000000"/>
                <w:sz w:val="20"/>
                <w:szCs w:val="20"/>
              </w:rPr>
            </w:pPr>
          </w:p>
          <w:p w14:paraId="0000040D" w14:textId="77777777" w:rsidR="0044605B" w:rsidRPr="00023F6E" w:rsidRDefault="006D749C">
            <w:pP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Po zakończeniu prac, Wykonawca dokona instruktażu stanowiskowego dla Administratora IT obejmującego zapoznanie z wdrożoną konfiguracją. Instruktaż odbędzie się w siedzibie Zamawiającego i obejmie nie mniej niż </w:t>
            </w:r>
            <w:r>
              <w:rPr>
                <w:rFonts w:ascii="Calibri" w:hAnsi="Calibri" w:cs="Calibri"/>
                <w:color w:val="000000"/>
                <w:sz w:val="20"/>
                <w:szCs w:val="20"/>
              </w:rPr>
              <w:t>4</w:t>
            </w:r>
            <w:r>
              <w:rPr>
                <w:rFonts w:ascii="Calibri" w:eastAsia="Calibri" w:hAnsi="Calibri" w:cs="Calibri"/>
                <w:color w:val="000000"/>
                <w:sz w:val="20"/>
                <w:szCs w:val="20"/>
              </w:rPr>
              <w:t xml:space="preserve"> godzin</w:t>
            </w:r>
            <w:r>
              <w:rPr>
                <w:rFonts w:ascii="Calibri" w:hAnsi="Calibri" w:cs="Calibri"/>
                <w:color w:val="000000"/>
                <w:sz w:val="20"/>
                <w:szCs w:val="20"/>
              </w:rPr>
              <w:t>y</w:t>
            </w:r>
            <w:r>
              <w:rPr>
                <w:rFonts w:ascii="Calibri" w:eastAsia="Calibri" w:hAnsi="Calibri" w:cs="Calibri"/>
                <w:color w:val="000000"/>
                <w:sz w:val="20"/>
                <w:szCs w:val="20"/>
              </w:rPr>
              <w:t xml:space="preserve">.  </w:t>
            </w:r>
          </w:p>
        </w:tc>
      </w:tr>
    </w:tbl>
    <w:p w14:paraId="0000040E" w14:textId="77777777" w:rsidR="0044605B" w:rsidRPr="00023F6E" w:rsidRDefault="0044605B">
      <w:pPr>
        <w:rPr>
          <w:rFonts w:ascii="Calibri" w:hAnsi="Calibri" w:cs="Calibri"/>
        </w:rPr>
      </w:pPr>
    </w:p>
    <w:p w14:paraId="0000044B" w14:textId="77777777" w:rsidR="0044605B" w:rsidRPr="00023F6E" w:rsidRDefault="0044605B">
      <w:pPr>
        <w:rPr>
          <w:rFonts w:ascii="Calibri" w:hAnsi="Calibri" w:cs="Calibri"/>
        </w:rPr>
      </w:pPr>
    </w:p>
    <w:p w14:paraId="4F709C98" w14:textId="77777777" w:rsidR="00491DA8" w:rsidRDefault="006D749C" w:rsidP="00CE7E52">
      <w:pPr>
        <w:pStyle w:val="Nagwek2"/>
        <w:numPr>
          <w:ilvl w:val="0"/>
          <w:numId w:val="1"/>
        </w:numPr>
        <w:rPr>
          <w:rFonts w:cs="Calibri"/>
        </w:rPr>
      </w:pPr>
      <w:bookmarkStart w:id="11" w:name="_Toc229478314"/>
      <w:r>
        <w:rPr>
          <w:rFonts w:cs="Calibri"/>
        </w:rPr>
        <w:t>Punkty dostępowe – 4 szt.</w:t>
      </w:r>
      <w:bookmarkEnd w:id="11"/>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tbl>
      <w:tblPr>
        <w:tblW w:w="9930" w:type="dxa"/>
        <w:tblInd w:w="-289" w:type="dxa"/>
        <w:tblLayout w:type="fixed"/>
        <w:tblLook w:val="0400" w:firstRow="0" w:lastRow="0" w:firstColumn="0" w:lastColumn="0" w:noHBand="0" w:noVBand="1"/>
      </w:tblPr>
      <w:tblGrid>
        <w:gridCol w:w="1844"/>
        <w:gridCol w:w="8086"/>
      </w:tblGrid>
      <w:tr w:rsidR="00491DA8" w:rsidRPr="00491DA8" w14:paraId="728C3DAE" w14:textId="77777777" w:rsidTr="00491DA8">
        <w:trPr>
          <w:trHeight w:val="643"/>
        </w:trPr>
        <w:tc>
          <w:tcPr>
            <w:tcW w:w="1843"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hideMark/>
          </w:tcPr>
          <w:p w14:paraId="2F9E7314" w14:textId="77777777" w:rsidR="00491DA8" w:rsidRPr="00491DA8" w:rsidRDefault="00491DA8" w:rsidP="00491DA8">
            <w:pPr>
              <w:rPr>
                <w:rFonts w:ascii="Calibri" w:hAnsi="Calibri" w:cs="Calibri"/>
                <w:sz w:val="22"/>
                <w:szCs w:val="22"/>
                <w:lang w:val="pl-PL"/>
              </w:rPr>
            </w:pPr>
            <w:r>
              <w:rPr>
                <w:rFonts w:ascii="Calibri" w:hAnsi="Calibri" w:cs="Calibri"/>
                <w:b/>
                <w:sz w:val="22"/>
                <w:szCs w:val="22"/>
                <w:lang w:val="pl-PL"/>
              </w:rPr>
              <w:t>Komponent</w:t>
            </w:r>
          </w:p>
        </w:tc>
        <w:tc>
          <w:tcPr>
            <w:tcW w:w="8080"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hideMark/>
          </w:tcPr>
          <w:p w14:paraId="6CB18D72" w14:textId="77777777" w:rsidR="00491DA8" w:rsidRPr="00491DA8" w:rsidRDefault="00491DA8" w:rsidP="00491DA8">
            <w:pPr>
              <w:rPr>
                <w:rFonts w:ascii="Calibri" w:hAnsi="Calibri" w:cs="Calibri"/>
                <w:b/>
                <w:bCs/>
                <w:sz w:val="22"/>
                <w:szCs w:val="22"/>
                <w:lang w:val="pl-PL"/>
              </w:rPr>
            </w:pPr>
            <w:r>
              <w:rPr>
                <w:rFonts w:ascii="Calibri" w:hAnsi="Calibri" w:cs="Calibri"/>
                <w:b/>
                <w:bCs/>
                <w:sz w:val="22"/>
                <w:szCs w:val="22"/>
                <w:lang w:val="pl-PL"/>
              </w:rPr>
              <w:t>Wymagania minimalne parametry techniczne</w:t>
            </w:r>
          </w:p>
        </w:tc>
      </w:tr>
      <w:tr w:rsidR="00491DA8" w:rsidRPr="00491DA8" w14:paraId="42328D0B" w14:textId="77777777">
        <w:trPr>
          <w:trHeight w:val="745"/>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09273260" w14:textId="77777777" w:rsidR="00491DA8" w:rsidRPr="00491DA8" w:rsidRDefault="00491DA8" w:rsidP="00491DA8">
            <w:pPr>
              <w:rPr>
                <w:rFonts w:ascii="Calibri" w:hAnsi="Calibri" w:cs="Calibri"/>
                <w:b/>
                <w:bCs/>
                <w:sz w:val="22"/>
                <w:szCs w:val="22"/>
                <w:lang w:val="pl-PL"/>
              </w:rPr>
            </w:pPr>
            <w:r>
              <w:rPr>
                <w:rFonts w:ascii="Calibri" w:hAnsi="Calibri" w:cs="Calibri"/>
                <w:b/>
                <w:bCs/>
                <w:sz w:val="22"/>
                <w:szCs w:val="22"/>
                <w:lang w:val="pl-PL"/>
              </w:rPr>
              <w:t>Parametry fizyczne</w:t>
            </w:r>
          </w:p>
        </w:tc>
        <w:tc>
          <w:tcPr>
            <w:tcW w:w="8080" w:type="dxa"/>
            <w:tcBorders>
              <w:top w:val="single" w:sz="4" w:space="0" w:color="000000"/>
              <w:left w:val="single" w:sz="4" w:space="0" w:color="000000"/>
              <w:bottom w:val="single" w:sz="4" w:space="0" w:color="000000"/>
              <w:right w:val="single" w:sz="4" w:space="0" w:color="000000"/>
            </w:tcBorders>
            <w:hideMark/>
          </w:tcPr>
          <w:p w14:paraId="3FC45196"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Obudowa urządzenia musi umożliwiać montaż na suficie lub ścianie wewnątrz budynku i zapewniać prawidłową pracę urządzenia w następujących warunkach klimatycznych:</w:t>
            </w:r>
          </w:p>
          <w:p w14:paraId="697AB09F" w14:textId="017DD63B"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temperatura 0–50°C,</w:t>
            </w:r>
          </w:p>
          <w:p w14:paraId="22D6A864" w14:textId="398E02E5"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wilgotność 5–90%.</w:t>
            </w:r>
          </w:p>
          <w:p w14:paraId="2006DBFF" w14:textId="14894C82"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być dostarczone z elementami mocującymi. Obudowa musi być fabrycznie przystosowana do zastosowania linki zabezpieczającej przed kradzieżą.</w:t>
            </w:r>
          </w:p>
        </w:tc>
      </w:tr>
      <w:tr w:rsidR="00491DA8" w:rsidRPr="00491DA8" w14:paraId="06FBF14D" w14:textId="77777777">
        <w:trPr>
          <w:trHeight w:val="745"/>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2859BCCF" w14:textId="77777777" w:rsidR="00491DA8" w:rsidRPr="00491DA8" w:rsidRDefault="00491DA8" w:rsidP="00491DA8">
            <w:pPr>
              <w:rPr>
                <w:rFonts w:ascii="Calibri" w:hAnsi="Calibri" w:cs="Calibri"/>
                <w:b/>
                <w:bCs/>
                <w:sz w:val="22"/>
                <w:szCs w:val="22"/>
                <w:lang w:val="pl-PL"/>
              </w:rPr>
            </w:pPr>
            <w:r>
              <w:rPr>
                <w:rFonts w:ascii="Calibri" w:hAnsi="Calibri" w:cs="Calibri"/>
                <w:b/>
                <w:bCs/>
                <w:sz w:val="22"/>
                <w:szCs w:val="22"/>
                <w:lang w:val="pl-PL"/>
              </w:rPr>
              <w:t>Funkcjonalności</w:t>
            </w:r>
          </w:p>
        </w:tc>
        <w:tc>
          <w:tcPr>
            <w:tcW w:w="8080" w:type="dxa"/>
            <w:tcBorders>
              <w:top w:val="single" w:sz="4" w:space="0" w:color="000000"/>
              <w:left w:val="single" w:sz="4" w:space="0" w:color="000000"/>
              <w:bottom w:val="single" w:sz="4" w:space="0" w:color="000000"/>
              <w:right w:val="single" w:sz="4" w:space="0" w:color="000000"/>
            </w:tcBorders>
            <w:hideMark/>
          </w:tcPr>
          <w:p w14:paraId="15AD1490"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być wyposażone w minimum dwa niezależne moduły radiowe pracujące w podanych poniżej pasmach i obsługiwać następujące standardy:</w:t>
            </w:r>
          </w:p>
          <w:p w14:paraId="2BFA971B" w14:textId="04111EA2"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en-US"/>
              </w:rPr>
              <w:t>2.4 GHz 802.</w:t>
            </w:r>
            <w:r>
              <w:rPr>
                <w:rFonts w:ascii="Calibri" w:hAnsi="Calibri" w:cs="Calibri"/>
                <w:sz w:val="22"/>
                <w:szCs w:val="22"/>
                <w:lang w:val="pl-PL"/>
              </w:rPr>
              <w:t>11b/g/n,</w:t>
            </w:r>
          </w:p>
          <w:p w14:paraId="1FFEE5F8" w14:textId="29D22785" w:rsidR="00491DA8" w:rsidRPr="006A6AC6"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5 GHz 802.11a/n/ac/ax,</w:t>
            </w:r>
          </w:p>
          <w:p w14:paraId="10C9152B"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pozwalać na jednoczesne rozgłaszanie co najmniej 8 SSID.</w:t>
            </w:r>
          </w:p>
          <w:p w14:paraId="0D3DBD55"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być wyposażone w moduł BLE.</w:t>
            </w:r>
          </w:p>
          <w:p w14:paraId="14952DE3"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być wyposażone w dwa interfejsy Ethernet: 10/100/1000 Base-TX oraz 100/1000/2500 Base-TX,</w:t>
            </w:r>
          </w:p>
          <w:p w14:paraId="3A0E264C"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powinno być zasilane poprzez interfejs ETH w standardzie 802.3at lub zewnętrzny zasilacz.</w:t>
            </w:r>
          </w:p>
          <w:p w14:paraId="4BDFFA5D"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Punkt dostępowy musi umożliwiać następujące tryby przesyłania danych:</w:t>
            </w:r>
          </w:p>
          <w:p w14:paraId="6A94A9EF" w14:textId="1EE20EBA"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Tunnel,</w:t>
            </w:r>
          </w:p>
          <w:p w14:paraId="64482218" w14:textId="16E3A6D7"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Bridge,</w:t>
            </w:r>
          </w:p>
          <w:p w14:paraId="3E50DE9E" w14:textId="0CE9350B"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Mesh.</w:t>
            </w:r>
          </w:p>
          <w:p w14:paraId="3F791C74"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Wsparcie dla QoS: 802.11e, konfigurowalne polityki QoS per użytkownik/aplikacja.</w:t>
            </w:r>
          </w:p>
          <w:p w14:paraId="24456BCE"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Wsparcie dla poniższych metod uwierzytelnienia: WEP, WPA, WPA2, WPA3, Web Captive Portal, MAC blacklist &amp; whitelist, 802.1X (EAP-TLS, EAP-TTLS/MSCHAPv2, EAPv0/EAP-MSCHAPv2, PEAPv1/EAP-GTC, EAP-SIM, EAP-AKA, EAP-FAST).</w:t>
            </w:r>
          </w:p>
          <w:p w14:paraId="16457343"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lastRenderedPageBreak/>
              <w:t>Interfejs radiowy urządzenia powinien wspierać następujące funkcje:</w:t>
            </w:r>
          </w:p>
          <w:p w14:paraId="01639860" w14:textId="5811E169"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MIMO – 2x2,</w:t>
            </w:r>
          </w:p>
          <w:p w14:paraId="64D955D7"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Maksymalna przepustowość dla poszczególnych modułów radiowych:</w:t>
            </w:r>
          </w:p>
          <w:p w14:paraId="00BF1771" w14:textId="5FA95EC5"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574 Mbps;</w:t>
            </w:r>
          </w:p>
          <w:p w14:paraId="3DF2EC12" w14:textId="0E90DAB6"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1201 Mbps;</w:t>
            </w:r>
          </w:p>
          <w:p w14:paraId="2B5733DA" w14:textId="6FEA2544"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2401 Mbps;</w:t>
            </w:r>
          </w:p>
          <w:p w14:paraId="4B6CF1CF"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Wymagana moc nadawania:</w:t>
            </w:r>
          </w:p>
          <w:p w14:paraId="2D857435" w14:textId="58A98662"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min. 23 dBm dla pasma 2.4GHz z możliwością zmiany co 1dBm;</w:t>
            </w:r>
          </w:p>
          <w:p w14:paraId="73C7DF35" w14:textId="4DE0A928"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min. 22 dBm dla pasma 5GHz z możliwością zmiany co 1dBm;</w:t>
            </w:r>
          </w:p>
          <w:p w14:paraId="55CAD8CF" w14:textId="561BF7F5" w:rsidR="00491DA8" w:rsidRPr="00491DA8" w:rsidRDefault="00491DA8">
            <w:pPr>
              <w:pStyle w:val="Akapitzlist"/>
              <w:numPr>
                <w:ilvl w:val="1"/>
                <w:numId w:val="31"/>
              </w:numPr>
              <w:rPr>
                <w:rFonts w:ascii="Calibri" w:hAnsi="Calibri" w:cs="Calibri"/>
                <w:sz w:val="22"/>
                <w:szCs w:val="22"/>
                <w:lang w:val="pl-PL"/>
              </w:rPr>
            </w:pPr>
          </w:p>
          <w:p w14:paraId="61EC4E0C" w14:textId="6581C53D"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wsparcie dla 802.11n 20/40Mhz HT,</w:t>
            </w:r>
          </w:p>
          <w:p w14:paraId="417AFBD3" w14:textId="3320F884"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wsparcie dla kanałów 80 i 160MHz,</w:t>
            </w:r>
          </w:p>
          <w:p w14:paraId="261BA2D9" w14:textId="71592261"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 xml:space="preserve">anteny – wbudowane dla nadajników standardu 802.11 o zysku min. 4dBi dla pasma 2.4GHz, 5dBi dla pasma 5GHz, </w:t>
            </w:r>
          </w:p>
          <w:p w14:paraId="0D432678" w14:textId="36678DC4"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nieużywany moduł radiowy może zostać wyłączony programowo w celu obniżenia poboru mocy,</w:t>
            </w:r>
          </w:p>
          <w:p w14:paraId="64276F95"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Maksymalna deklarowana liczba klientów na każdy moduł radiowy – 512;</w:t>
            </w:r>
          </w:p>
          <w:p w14:paraId="57F0847D"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Funkcje dodatkowe:</w:t>
            </w:r>
          </w:p>
          <w:p w14:paraId="411795B0" w14:textId="1447F4EF"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OFDMA UL i DL</w:t>
            </w:r>
          </w:p>
          <w:p w14:paraId="40D65874" w14:textId="4612ADBB"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Spatial Reuse (BSS Coloring)</w:t>
            </w:r>
          </w:p>
          <w:p w14:paraId="7A0C39F8" w14:textId="6D9CBD49"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UL-MU-MIMO</w:t>
            </w:r>
          </w:p>
          <w:p w14:paraId="4218EB82" w14:textId="49E36DA9"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DL-MU-MIMO</w:t>
            </w:r>
          </w:p>
          <w:p w14:paraId="510FC35A" w14:textId="3AC11A19" w:rsidR="00491DA8" w:rsidRPr="00491DA8" w:rsidRDefault="00491DA8">
            <w:pPr>
              <w:pStyle w:val="Akapitzlist"/>
              <w:numPr>
                <w:ilvl w:val="1"/>
                <w:numId w:val="31"/>
              </w:numPr>
              <w:rPr>
                <w:rFonts w:ascii="Calibri" w:hAnsi="Calibri" w:cs="Calibri"/>
                <w:sz w:val="22"/>
                <w:szCs w:val="22"/>
                <w:lang w:val="en-US"/>
              </w:rPr>
            </w:pPr>
            <w:r>
              <w:rPr>
                <w:rFonts w:ascii="Calibri" w:hAnsi="Calibri" w:cs="Calibri"/>
                <w:sz w:val="22"/>
                <w:szCs w:val="22"/>
                <w:lang w:val="en-US"/>
              </w:rPr>
              <w:t>Enhanced Target Wake Time (TWT)</w:t>
            </w:r>
          </w:p>
          <w:p w14:paraId="64C62777" w14:textId="63DEF89C"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wbudowany analizator widma</w:t>
            </w:r>
          </w:p>
          <w:p w14:paraId="20E4DCEB" w14:textId="6933448F" w:rsidR="00491DA8" w:rsidRPr="00491DA8" w:rsidRDefault="00491DA8">
            <w:pPr>
              <w:pStyle w:val="Akapitzlist"/>
              <w:numPr>
                <w:ilvl w:val="1"/>
                <w:numId w:val="31"/>
              </w:numPr>
              <w:rPr>
                <w:rFonts w:ascii="Calibri" w:hAnsi="Calibri" w:cs="Calibri"/>
                <w:sz w:val="22"/>
                <w:szCs w:val="22"/>
                <w:lang w:val="pl-PL"/>
              </w:rPr>
            </w:pPr>
            <w:r>
              <w:rPr>
                <w:rFonts w:ascii="Calibri" w:hAnsi="Calibri" w:cs="Calibri"/>
                <w:sz w:val="22"/>
                <w:szCs w:val="22"/>
                <w:lang w:val="pl-PL"/>
              </w:rPr>
              <w:t>wbudowane mechanizmy WIPS/WIDS</w:t>
            </w:r>
            <w:r>
              <w:rPr>
                <w:rFonts w:ascii="Calibri" w:hAnsi="Calibri" w:cs="Calibri"/>
                <w:sz w:val="22"/>
                <w:szCs w:val="22"/>
                <w:lang w:val="pl-PL"/>
              </w:rPr>
              <w:tab/>
            </w:r>
          </w:p>
        </w:tc>
      </w:tr>
      <w:tr w:rsidR="00491DA8" w:rsidRPr="00491DA8" w14:paraId="6AC8FE1C" w14:textId="77777777">
        <w:trPr>
          <w:trHeight w:val="745"/>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0A64C6DB" w14:textId="77777777" w:rsidR="00491DA8" w:rsidRPr="00491DA8" w:rsidRDefault="00491DA8" w:rsidP="00491DA8">
            <w:pPr>
              <w:rPr>
                <w:rFonts w:ascii="Calibri" w:hAnsi="Calibri" w:cs="Calibri"/>
                <w:b/>
                <w:bCs/>
                <w:sz w:val="22"/>
                <w:szCs w:val="22"/>
                <w:lang w:val="pl-PL"/>
              </w:rPr>
            </w:pPr>
            <w:r>
              <w:rPr>
                <w:rFonts w:ascii="Calibri" w:hAnsi="Calibri" w:cs="Calibri"/>
                <w:b/>
                <w:bCs/>
                <w:sz w:val="22"/>
                <w:szCs w:val="22"/>
                <w:lang w:val="pl-PL"/>
              </w:rPr>
              <w:lastRenderedPageBreak/>
              <w:t xml:space="preserve">Gwarancja </w:t>
            </w:r>
          </w:p>
          <w:p w14:paraId="572D75A8" w14:textId="77777777" w:rsidR="00491DA8" w:rsidRPr="00491DA8" w:rsidRDefault="00491DA8" w:rsidP="00491DA8">
            <w:pPr>
              <w:rPr>
                <w:rFonts w:ascii="Calibri" w:hAnsi="Calibri" w:cs="Calibri"/>
                <w:b/>
                <w:bCs/>
                <w:sz w:val="22"/>
                <w:szCs w:val="22"/>
                <w:lang w:val="pl-PL"/>
              </w:rPr>
            </w:pPr>
            <w:r>
              <w:rPr>
                <w:rFonts w:ascii="Calibri" w:hAnsi="Calibri" w:cs="Calibri"/>
                <w:b/>
                <w:bCs/>
                <w:sz w:val="22"/>
                <w:szCs w:val="22"/>
                <w:lang w:val="pl-PL"/>
              </w:rPr>
              <w:t>oraz wsparcie</w:t>
            </w:r>
          </w:p>
        </w:tc>
        <w:tc>
          <w:tcPr>
            <w:tcW w:w="8080" w:type="dxa"/>
            <w:tcBorders>
              <w:top w:val="single" w:sz="4" w:space="0" w:color="000000"/>
              <w:left w:val="single" w:sz="4" w:space="0" w:color="000000"/>
              <w:bottom w:val="single" w:sz="4" w:space="0" w:color="000000"/>
              <w:right w:val="single" w:sz="4" w:space="0" w:color="000000"/>
            </w:tcBorders>
            <w:hideMark/>
          </w:tcPr>
          <w:p w14:paraId="06078D6B" w14:textId="77777777" w:rsidR="00491DA8" w:rsidRPr="00491DA8" w:rsidRDefault="00491DA8">
            <w:pPr>
              <w:numPr>
                <w:ilvl w:val="0"/>
                <w:numId w:val="31"/>
              </w:numPr>
              <w:rPr>
                <w:rFonts w:ascii="Calibri" w:hAnsi="Calibri" w:cs="Calibri"/>
                <w:sz w:val="22"/>
                <w:szCs w:val="22"/>
                <w:lang w:val="pl-PL"/>
              </w:rPr>
            </w:pPr>
            <w:r>
              <w:rPr>
                <w:rFonts w:ascii="Calibri" w:hAnsi="Calibri" w:cs="Calibri"/>
                <w:sz w:val="22"/>
                <w:szCs w:val="22"/>
                <w:lang w:val="pl-PL"/>
              </w:rPr>
              <w:t>Urządzenie musi być objęte serwisem gwarancyjnym producenta przez okres minimum 36 miesięcy, polegającym na naprawie lub wymianie urządzenia w przypadku jego wadliwości.</w:t>
            </w:r>
          </w:p>
        </w:tc>
      </w:tr>
    </w:tbl>
    <w:p w14:paraId="67852121" w14:textId="0B15692D" w:rsidR="00332BA4" w:rsidRDefault="00491DA8" w:rsidP="00491DA8">
      <w:pPr>
        <w:rPr>
          <w:rFonts w:cs="Calibri"/>
        </w:rPr>
      </w:pPr>
      <w:r>
        <w:rPr>
          <w:rFonts w:cs="Calibri"/>
        </w:rPr>
        <w:tab/>
      </w:r>
    </w:p>
    <w:p w14:paraId="00000488" w14:textId="77777777" w:rsidR="0044605B" w:rsidRPr="00023F6E" w:rsidRDefault="0044605B">
      <w:pPr>
        <w:rPr>
          <w:rFonts w:ascii="Calibri" w:hAnsi="Calibri" w:cs="Calibri"/>
        </w:rPr>
      </w:pPr>
    </w:p>
    <w:p w14:paraId="0000048A" w14:textId="48B9FF4A" w:rsidR="0044605B" w:rsidRDefault="006D749C" w:rsidP="00332BA4">
      <w:pPr>
        <w:pStyle w:val="Nagwek2"/>
        <w:numPr>
          <w:ilvl w:val="0"/>
          <w:numId w:val="1"/>
        </w:numPr>
        <w:rPr>
          <w:rFonts w:cs="Calibri"/>
        </w:rPr>
      </w:pPr>
      <w:bookmarkStart w:id="12" w:name="_Toc229478315"/>
      <w:r>
        <w:rPr>
          <w:rFonts w:cs="Calibri"/>
        </w:rPr>
        <w:t>Urządzenia</w:t>
      </w:r>
      <w:r>
        <w:rPr>
          <w:rFonts w:cs="Calibri"/>
          <w:b/>
          <w:color w:val="000000"/>
        </w:rPr>
        <w:t xml:space="preserve"> </w:t>
      </w:r>
      <w:r>
        <w:rPr>
          <w:rFonts w:cs="Calibri"/>
        </w:rPr>
        <w:t>ochrony brzegu sieci (UTM) – 1 szt.</w:t>
      </w:r>
      <w:bookmarkEnd w:id="12"/>
    </w:p>
    <w:p w14:paraId="081D0814" w14:textId="77777777" w:rsidR="00332BA4" w:rsidRDefault="00332BA4" w:rsidP="00332BA4"/>
    <w:tbl>
      <w:tblPr>
        <w:tblW w:w="9782" w:type="dxa"/>
        <w:tblInd w:w="-289" w:type="dxa"/>
        <w:tblLook w:val="01E0" w:firstRow="1" w:lastRow="1" w:firstColumn="1" w:lastColumn="1" w:noHBand="0" w:noVBand="0"/>
      </w:tblPr>
      <w:tblGrid>
        <w:gridCol w:w="1844"/>
        <w:gridCol w:w="7938"/>
      </w:tblGrid>
      <w:tr w:rsidR="00332BA4" w:rsidRPr="00491DA8" w14:paraId="2C95C9B7" w14:textId="77777777" w:rsidTr="00491DA8">
        <w:trPr>
          <w:trHeight w:val="454"/>
        </w:trPr>
        <w:tc>
          <w:tcPr>
            <w:tcW w:w="184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6FDF043C" w14:textId="77777777" w:rsidR="00332BA4" w:rsidRPr="00491DA8" w:rsidRDefault="00332BA4" w:rsidP="00491DA8">
            <w:pPr>
              <w:spacing w:line="276" w:lineRule="auto"/>
              <w:rPr>
                <w:rFonts w:ascii="Calibri" w:hAnsi="Calibri" w:cs="Calibri"/>
                <w:b/>
                <w:sz w:val="22"/>
                <w:szCs w:val="22"/>
                <w:lang w:val="pl-PL"/>
              </w:rPr>
            </w:pPr>
            <w:r>
              <w:rPr>
                <w:rFonts w:ascii="Calibri" w:hAnsi="Calibri" w:cs="Calibri"/>
                <w:b/>
                <w:sz w:val="22"/>
                <w:szCs w:val="22"/>
                <w:lang w:val="pl-PL"/>
              </w:rPr>
              <w:t>Komponent</w:t>
            </w:r>
          </w:p>
        </w:tc>
        <w:tc>
          <w:tcPr>
            <w:tcW w:w="7938"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59B269E8" w14:textId="77777777" w:rsidR="00332BA4" w:rsidRPr="00491DA8" w:rsidRDefault="00332BA4" w:rsidP="00491DA8">
            <w:pPr>
              <w:spacing w:line="276" w:lineRule="auto"/>
              <w:rPr>
                <w:rFonts w:ascii="Calibri" w:hAnsi="Calibri" w:cs="Calibri"/>
                <w:b/>
                <w:sz w:val="22"/>
                <w:szCs w:val="22"/>
                <w:lang w:val="pl-PL"/>
              </w:rPr>
            </w:pPr>
            <w:r>
              <w:rPr>
                <w:rFonts w:ascii="Calibri" w:hAnsi="Calibri" w:cs="Calibri"/>
                <w:b/>
                <w:sz w:val="22"/>
                <w:szCs w:val="22"/>
                <w:lang w:val="pl-PL"/>
              </w:rPr>
              <w:t>Wymagania minimalne parametry techniczne</w:t>
            </w:r>
          </w:p>
        </w:tc>
      </w:tr>
      <w:tr w:rsidR="00332BA4" w:rsidRPr="00491DA8" w14:paraId="54F588CC"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0968428E"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Wymagania ogólne</w:t>
            </w:r>
          </w:p>
        </w:tc>
        <w:tc>
          <w:tcPr>
            <w:tcW w:w="7938" w:type="dxa"/>
            <w:tcBorders>
              <w:top w:val="single" w:sz="4" w:space="0" w:color="auto"/>
              <w:left w:val="single" w:sz="4" w:space="0" w:color="auto"/>
              <w:bottom w:val="single" w:sz="4" w:space="0" w:color="auto"/>
              <w:right w:val="single" w:sz="4" w:space="0" w:color="auto"/>
            </w:tcBorders>
            <w:hideMark/>
          </w:tcPr>
          <w:p w14:paraId="7FCE0997" w14:textId="77777777" w:rsidR="00332BA4" w:rsidRPr="00491DA8" w:rsidRDefault="00332BA4">
            <w:pPr>
              <w:numPr>
                <w:ilvl w:val="0"/>
                <w:numId w:val="9"/>
              </w:numPr>
              <w:spacing w:line="276" w:lineRule="auto"/>
              <w:rPr>
                <w:rFonts w:ascii="Calibri" w:hAnsi="Calibri" w:cs="Calibri"/>
                <w:sz w:val="22"/>
                <w:szCs w:val="22"/>
              </w:rPr>
            </w:pPr>
            <w:r>
              <w:rPr>
                <w:rFonts w:ascii="Calibri" w:hAnsi="Calibri" w:cs="Calibri"/>
                <w:sz w:val="22"/>
                <w:szCs w:val="22"/>
              </w:rPr>
              <w:t>system bezpieczeństwa ma realizować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1E52D50D" w14:textId="77777777" w:rsidR="00332BA4" w:rsidRPr="00491DA8" w:rsidRDefault="00332BA4">
            <w:pPr>
              <w:numPr>
                <w:ilvl w:val="0"/>
                <w:numId w:val="9"/>
              </w:numPr>
              <w:spacing w:line="276" w:lineRule="auto"/>
              <w:rPr>
                <w:rFonts w:ascii="Calibri" w:hAnsi="Calibri" w:cs="Calibri"/>
                <w:sz w:val="22"/>
                <w:szCs w:val="22"/>
              </w:rPr>
            </w:pPr>
            <w:r>
              <w:rPr>
                <w:rFonts w:ascii="Calibri" w:hAnsi="Calibri" w:cs="Calibri"/>
                <w:sz w:val="22"/>
                <w:szCs w:val="22"/>
              </w:rPr>
              <w:t>system realizujący funkcję Firewall ma zapewniać pracę w jednym z trzech trybów: Routera z funkcją NAT, transparentnym oraz monitorowania na porcie SPAN,</w:t>
            </w:r>
          </w:p>
          <w:p w14:paraId="6AC41C7A" w14:textId="13159AC7" w:rsidR="00332BA4" w:rsidRPr="00491DA8" w:rsidRDefault="00332BA4">
            <w:pPr>
              <w:numPr>
                <w:ilvl w:val="0"/>
                <w:numId w:val="9"/>
              </w:numPr>
              <w:spacing w:line="276" w:lineRule="auto"/>
              <w:rPr>
                <w:rFonts w:ascii="Calibri" w:hAnsi="Calibri" w:cs="Calibri"/>
                <w:sz w:val="22"/>
                <w:szCs w:val="22"/>
              </w:rPr>
            </w:pPr>
            <w:r>
              <w:rPr>
                <w:rFonts w:ascii="Calibri" w:hAnsi="Calibri" w:cs="Calibri"/>
                <w:sz w:val="22"/>
                <w:szCs w:val="22"/>
              </w:rPr>
              <w:lastRenderedPageBreak/>
              <w:t>system ma umożliwiać segmentację sieci na poziomie stref bezpieczeństwa, polityk oraz sieci VLAN. Nie jest wymagana obsługa wirtualnych instancji pełnego systemu (typu VDOM). System ma umożliwiać przypisywanie administratorom uprawnień do zarządzania określonymi częściami systemu,</w:t>
            </w:r>
          </w:p>
          <w:p w14:paraId="00855C7A" w14:textId="77777777" w:rsidR="00332BA4" w:rsidRPr="00491DA8" w:rsidRDefault="00332BA4">
            <w:pPr>
              <w:numPr>
                <w:ilvl w:val="0"/>
                <w:numId w:val="9"/>
              </w:numPr>
              <w:spacing w:line="276" w:lineRule="auto"/>
              <w:rPr>
                <w:rFonts w:ascii="Calibri" w:hAnsi="Calibri" w:cs="Calibri"/>
                <w:sz w:val="22"/>
                <w:szCs w:val="22"/>
              </w:rPr>
            </w:pPr>
            <w:r>
              <w:rPr>
                <w:rFonts w:ascii="Calibri" w:hAnsi="Calibri" w:cs="Calibri"/>
                <w:sz w:val="22"/>
                <w:szCs w:val="22"/>
              </w:rPr>
              <w:t xml:space="preserve">system wspiera protokoły IPv4 oraz IPv6 w zakresie: </w:t>
            </w:r>
          </w:p>
          <w:p w14:paraId="173953DE" w14:textId="77777777" w:rsidR="00332BA4" w:rsidRPr="00491DA8" w:rsidRDefault="00332BA4">
            <w:pPr>
              <w:numPr>
                <w:ilvl w:val="1"/>
                <w:numId w:val="19"/>
              </w:numPr>
              <w:spacing w:line="276" w:lineRule="auto"/>
              <w:rPr>
                <w:rFonts w:ascii="Calibri" w:hAnsi="Calibri" w:cs="Calibri"/>
                <w:sz w:val="22"/>
                <w:szCs w:val="22"/>
              </w:rPr>
            </w:pPr>
            <w:r>
              <w:rPr>
                <w:rFonts w:ascii="Calibri" w:hAnsi="Calibri" w:cs="Calibri"/>
                <w:sz w:val="22"/>
                <w:szCs w:val="22"/>
              </w:rPr>
              <w:t>Firewall,</w:t>
            </w:r>
          </w:p>
          <w:p w14:paraId="0D533130" w14:textId="77777777" w:rsidR="00332BA4" w:rsidRPr="00491DA8" w:rsidRDefault="00332BA4">
            <w:pPr>
              <w:numPr>
                <w:ilvl w:val="1"/>
                <w:numId w:val="19"/>
              </w:numPr>
              <w:spacing w:line="276" w:lineRule="auto"/>
              <w:rPr>
                <w:rFonts w:ascii="Calibri" w:hAnsi="Calibri" w:cs="Calibri"/>
                <w:sz w:val="22"/>
                <w:szCs w:val="22"/>
              </w:rPr>
            </w:pPr>
            <w:r>
              <w:rPr>
                <w:rFonts w:ascii="Calibri" w:hAnsi="Calibri" w:cs="Calibri"/>
                <w:sz w:val="22"/>
                <w:szCs w:val="22"/>
              </w:rPr>
              <w:t>ochrony w warstwie aplikacji,</w:t>
            </w:r>
          </w:p>
          <w:p w14:paraId="4B92ACA1" w14:textId="77777777" w:rsidR="00332BA4" w:rsidRPr="00491DA8" w:rsidRDefault="00332BA4">
            <w:pPr>
              <w:numPr>
                <w:ilvl w:val="1"/>
                <w:numId w:val="19"/>
              </w:numPr>
              <w:spacing w:line="276" w:lineRule="auto"/>
              <w:rPr>
                <w:rFonts w:ascii="Calibri" w:hAnsi="Calibri" w:cs="Calibri"/>
                <w:sz w:val="22"/>
                <w:szCs w:val="22"/>
              </w:rPr>
            </w:pPr>
            <w:r>
              <w:rPr>
                <w:rFonts w:ascii="Calibri" w:hAnsi="Calibri" w:cs="Calibri"/>
                <w:sz w:val="22"/>
                <w:szCs w:val="22"/>
              </w:rPr>
              <w:t xml:space="preserve">protokołów routingu dynamicznego. </w:t>
            </w:r>
          </w:p>
        </w:tc>
      </w:tr>
      <w:tr w:rsidR="00332BA4" w:rsidRPr="00491DA8" w14:paraId="66EAD9A7" w14:textId="77777777" w:rsidTr="00491DA8">
        <w:tc>
          <w:tcPr>
            <w:tcW w:w="1844" w:type="dxa"/>
            <w:tcBorders>
              <w:top w:val="single" w:sz="4" w:space="0" w:color="auto"/>
              <w:left w:val="single" w:sz="4" w:space="0" w:color="auto"/>
              <w:bottom w:val="single" w:sz="4" w:space="0" w:color="auto"/>
              <w:right w:val="single" w:sz="4" w:space="0" w:color="auto"/>
            </w:tcBorders>
          </w:tcPr>
          <w:p w14:paraId="6A8DD645" w14:textId="77777777" w:rsidR="00332BA4" w:rsidRPr="00491DA8" w:rsidRDefault="00332BA4" w:rsidP="00491DA8">
            <w:pPr>
              <w:spacing w:line="276" w:lineRule="auto"/>
              <w:rPr>
                <w:rFonts w:ascii="Calibri" w:hAnsi="Calibri" w:cs="Calibri"/>
                <w:b/>
                <w:bCs/>
                <w:sz w:val="22"/>
                <w:szCs w:val="22"/>
                <w:lang w:val="pl-PL"/>
              </w:rPr>
            </w:pPr>
          </w:p>
          <w:p w14:paraId="5E61FEF0"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Redundancja, monitoring i wykrywanie awarii</w:t>
            </w:r>
          </w:p>
        </w:tc>
        <w:tc>
          <w:tcPr>
            <w:tcW w:w="7938" w:type="dxa"/>
            <w:tcBorders>
              <w:top w:val="single" w:sz="4" w:space="0" w:color="auto"/>
              <w:left w:val="single" w:sz="4" w:space="0" w:color="auto"/>
              <w:bottom w:val="single" w:sz="4" w:space="0" w:color="auto"/>
              <w:right w:val="single" w:sz="4" w:space="0" w:color="auto"/>
            </w:tcBorders>
            <w:hideMark/>
          </w:tcPr>
          <w:p w14:paraId="72CD374C" w14:textId="6A35206E" w:rsidR="00A942E0" w:rsidRPr="00491DA8" w:rsidRDefault="00A942E0">
            <w:pPr>
              <w:numPr>
                <w:ilvl w:val="0"/>
                <w:numId w:val="10"/>
              </w:numPr>
              <w:spacing w:line="276" w:lineRule="auto"/>
              <w:rPr>
                <w:rFonts w:ascii="Calibri" w:hAnsi="Calibri" w:cs="Calibri"/>
                <w:sz w:val="22"/>
                <w:szCs w:val="22"/>
              </w:rPr>
            </w:pPr>
            <w:r>
              <w:rPr>
                <w:rFonts w:ascii="Calibri" w:hAnsi="Calibri" w:cs="Calibri"/>
                <w:sz w:val="22"/>
                <w:szCs w:val="22"/>
              </w:rPr>
              <w:t>system powinien umożliwiać rozbudowę do pracy w klastrze Active-Active lub Active-Passive w przypadku dokupienia drugiego urządzenia,</w:t>
            </w:r>
          </w:p>
          <w:p w14:paraId="340EEDA2"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monitoring i wykrywanie uszkodzenia elementów sprzętowych i programowych systemów zabezpieczeń oraz łączy sieciowych,</w:t>
            </w:r>
          </w:p>
          <w:p w14:paraId="3BBF3199"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monitoring stanu realizowanych połączeń VPN,</w:t>
            </w:r>
          </w:p>
          <w:p w14:paraId="30DE9AF1"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system umożliwia agregację linków statyczną oraz w oparciu o protokół LACP. Ponadto daje możliwość tworzenia interfejsów redundantnych. </w:t>
            </w:r>
          </w:p>
        </w:tc>
      </w:tr>
      <w:tr w:rsidR="00332BA4" w:rsidRPr="00491DA8" w14:paraId="6C5F54C1" w14:textId="77777777" w:rsidTr="00491DA8">
        <w:tc>
          <w:tcPr>
            <w:tcW w:w="1844" w:type="dxa"/>
            <w:tcBorders>
              <w:top w:val="single" w:sz="4" w:space="0" w:color="auto"/>
              <w:left w:val="single" w:sz="4" w:space="0" w:color="auto"/>
              <w:bottom w:val="single" w:sz="4" w:space="0" w:color="auto"/>
              <w:right w:val="single" w:sz="4" w:space="0" w:color="auto"/>
            </w:tcBorders>
          </w:tcPr>
          <w:p w14:paraId="5AACCE28" w14:textId="77777777" w:rsidR="00332BA4" w:rsidRPr="00491DA8" w:rsidRDefault="00332BA4" w:rsidP="00491DA8">
            <w:pPr>
              <w:spacing w:line="276" w:lineRule="auto"/>
              <w:rPr>
                <w:rFonts w:ascii="Calibri" w:hAnsi="Calibri" w:cs="Calibri"/>
                <w:b/>
                <w:bCs/>
                <w:sz w:val="22"/>
                <w:szCs w:val="22"/>
                <w:lang w:val="pl-PL"/>
              </w:rPr>
            </w:pPr>
          </w:p>
          <w:p w14:paraId="326DC35A"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Interfejsy, Dysk, Zasilanie</w:t>
            </w:r>
          </w:p>
        </w:tc>
        <w:tc>
          <w:tcPr>
            <w:tcW w:w="7938" w:type="dxa"/>
            <w:tcBorders>
              <w:top w:val="single" w:sz="4" w:space="0" w:color="auto"/>
              <w:left w:val="single" w:sz="4" w:space="0" w:color="auto"/>
              <w:bottom w:val="single" w:sz="4" w:space="0" w:color="auto"/>
              <w:right w:val="single" w:sz="4" w:space="0" w:color="auto"/>
            </w:tcBorders>
            <w:hideMark/>
          </w:tcPr>
          <w:p w14:paraId="37EC1FF9"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system realizujący funkcję Firewall dysponuje co najmniej poniższą liczbą i rodzajem interfejsów: 5 portami Gigabit Ethernet RJ-45,</w:t>
            </w:r>
          </w:p>
          <w:p w14:paraId="789369D9"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system Firewall ma posiadać wbudowany port konsoli szeregowej oraz gniazdo USB umożliwiające podłączenie modemu 3G/4G oraz instalacji oprogramowania z klucza USB,</w:t>
            </w:r>
          </w:p>
          <w:p w14:paraId="4A50943B"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system Firewall ma pozwalać na skonfigurowanie co najmniej 200 interfejsów wirtualnych, definiowanych jako VLAN’y w oparciu o standard 802.1Q,</w:t>
            </w:r>
          </w:p>
          <w:p w14:paraId="10537294"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system ma być wyposażony w zasilanie AC. </w:t>
            </w:r>
          </w:p>
        </w:tc>
      </w:tr>
      <w:tr w:rsidR="00332BA4" w:rsidRPr="00491DA8" w14:paraId="7607419F"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20436AC6"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Parametry wydajnościowe</w:t>
            </w:r>
          </w:p>
        </w:tc>
        <w:tc>
          <w:tcPr>
            <w:tcW w:w="7938" w:type="dxa"/>
            <w:tcBorders>
              <w:top w:val="single" w:sz="4" w:space="0" w:color="auto"/>
              <w:left w:val="single" w:sz="4" w:space="0" w:color="auto"/>
              <w:bottom w:val="single" w:sz="4" w:space="0" w:color="auto"/>
              <w:right w:val="single" w:sz="4" w:space="0" w:color="auto"/>
            </w:tcBorders>
            <w:hideMark/>
          </w:tcPr>
          <w:p w14:paraId="5563EEBE" w14:textId="3EDF6E8E"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 w zakresie Firewall’a obsługa nie mniej niż 200 tys. jednoczesnych połączeń oraz 32 tys. nowych połączeń na sekundę,</w:t>
            </w:r>
          </w:p>
          <w:p w14:paraId="75CACD6E"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przepustowość Stateful Firewall: nie mniej niż 5 Gbps dla pakietów 512 B,</w:t>
            </w:r>
          </w:p>
          <w:p w14:paraId="0037F013"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przepustowość Firewall z włączoną funkcją Kontroli Aplikacji: nie mniej niż 950 Mbps,</w:t>
            </w:r>
          </w:p>
          <w:p w14:paraId="7D01A6CC"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wydajność szyfrowania IPSec VPN protokołem AES z kluczem 128 nie mniej niż 4 Gbps,</w:t>
            </w:r>
          </w:p>
          <w:p w14:paraId="0D0FFEBD" w14:textId="77777777" w:rsidR="00936AF0"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wydajność skanowania ruchu w celu ochrony przed atakami (zarówno client side jak i server side w ramach modułu IPS) dla ruchu Enterprise Traffic Mix </w:t>
            </w:r>
          </w:p>
          <w:p w14:paraId="4368CC28" w14:textId="7A579585"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minimum 1 Gbps,</w:t>
            </w:r>
          </w:p>
          <w:p w14:paraId="228725AA" w14:textId="77777777" w:rsidR="00936AF0"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wydajność skanowania ruchu typu Enterprise Mix z włączonymi funkcjami: IPS, Application Control, Antywirus </w:t>
            </w:r>
          </w:p>
          <w:p w14:paraId="266CFFE9" w14:textId="39AC5008"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minimum 500 Mbps,</w:t>
            </w:r>
          </w:p>
          <w:p w14:paraId="3EA25E45"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wydajność systemu w zakresie inspekcji komunikacji szyfrowanej SSL dla ruchu http – minimum 300 Mbps. </w:t>
            </w:r>
          </w:p>
        </w:tc>
      </w:tr>
      <w:tr w:rsidR="00332BA4" w:rsidRPr="00491DA8" w14:paraId="065A6469"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0F6D78AF"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Funkcje Systemu Bezpieczeństwa</w:t>
            </w:r>
          </w:p>
        </w:tc>
        <w:tc>
          <w:tcPr>
            <w:tcW w:w="7938" w:type="dxa"/>
            <w:tcBorders>
              <w:top w:val="single" w:sz="4" w:space="0" w:color="auto"/>
              <w:left w:val="single" w:sz="4" w:space="0" w:color="auto"/>
              <w:bottom w:val="single" w:sz="4" w:space="0" w:color="auto"/>
              <w:right w:val="single" w:sz="4" w:space="0" w:color="auto"/>
            </w:tcBorders>
            <w:hideMark/>
          </w:tcPr>
          <w:p w14:paraId="75BB983B"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 xml:space="preserve">W ramach systemu ochrony mają być realizowane wszystkie poniższe funkcje. Mogą one być zrealizowane w postaci osobnych, komercyjnych platform sprzętowych lub programowych: </w:t>
            </w:r>
          </w:p>
          <w:p w14:paraId="225F5AD4" w14:textId="77777777" w:rsidR="00936AF0"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kontrola dostępu </w:t>
            </w:r>
          </w:p>
          <w:p w14:paraId="38CBF44A" w14:textId="35BCADAB"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lastRenderedPageBreak/>
              <w:t>zapora ogniowa klasy Stateful Inspection,</w:t>
            </w:r>
          </w:p>
          <w:p w14:paraId="0367813F"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kontrola Aplikacji,</w:t>
            </w:r>
          </w:p>
          <w:p w14:paraId="2157BC8B" w14:textId="77777777" w:rsidR="00936AF0"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poufność transmisji danych </w:t>
            </w:r>
          </w:p>
          <w:p w14:paraId="34D5F081" w14:textId="3F2C4B76"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połączenia szyfrowane IPSec VPN oraz SSL VPN,</w:t>
            </w:r>
          </w:p>
          <w:p w14:paraId="0E785B8F"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ochrona przed malware,</w:t>
            </w:r>
          </w:p>
          <w:p w14:paraId="2C405948" w14:textId="77777777" w:rsidR="00936AF0"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ochrona przed atakami </w:t>
            </w:r>
          </w:p>
          <w:p w14:paraId="3A5D367F" w14:textId="3DE8EFB2"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Intrusion Prevention System,</w:t>
            </w:r>
          </w:p>
          <w:p w14:paraId="25006CCC"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kontrola stron WWW,</w:t>
            </w:r>
          </w:p>
          <w:p w14:paraId="1C5A8C9A"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kontrola zawartości poczty – Antyspam dla protokołów SMTP, POP3,</w:t>
            </w:r>
          </w:p>
          <w:p w14:paraId="58D0B627"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zarządzanie pasmem (QoS, Traffic shaping),</w:t>
            </w:r>
          </w:p>
          <w:p w14:paraId="59E8D793"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mechanizmy ochrony przed wyciekiem poufnej informacji (DLP),</w:t>
            </w:r>
          </w:p>
          <w:p w14:paraId="54A30156"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0C771F68"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inspekcja (minimum: IPS) ruchu szyfrowanego protokołem SSL/TLS, minimum dla następujących typów ruchu: HTTP (w tym HTTP/2), SMTP, FTP, POP3,</w:t>
            </w:r>
          </w:p>
          <w:p w14:paraId="50FC801E"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funkcja lokalnego serwera DNS z możliwością filtrowania zapytań DNS na lokalnym serwerze DNS jak i w ruchu przechodzącym przez system,</w:t>
            </w:r>
          </w:p>
          <w:p w14:paraId="01CBE69A" w14:textId="77777777" w:rsidR="00332BA4" w:rsidRPr="00491DA8" w:rsidRDefault="00332BA4">
            <w:pPr>
              <w:numPr>
                <w:ilvl w:val="0"/>
                <w:numId w:val="10"/>
              </w:numPr>
              <w:spacing w:line="276" w:lineRule="auto"/>
              <w:rPr>
                <w:rFonts w:ascii="Calibri" w:hAnsi="Calibri" w:cs="Calibri"/>
                <w:sz w:val="22"/>
                <w:szCs w:val="22"/>
              </w:rPr>
            </w:pPr>
            <w:r>
              <w:rPr>
                <w:rFonts w:ascii="Calibri" w:hAnsi="Calibri" w:cs="Calibri"/>
                <w:sz w:val="22"/>
                <w:szCs w:val="22"/>
              </w:rPr>
              <w:t xml:space="preserve">rozwiązanie posiada wbudowane mechanizmy automatyzacji polegające na wykonaniu określonej sekwencji akcji (takich jak zmiana konfiguracji, wysłanie powiadomień do administratora) po wystąpieniu wybranego zdarzenia (np. naruszenie polityki bezpieczeństwa).  </w:t>
            </w:r>
          </w:p>
        </w:tc>
      </w:tr>
      <w:tr w:rsidR="00332BA4" w:rsidRPr="00491DA8" w14:paraId="235EB70B" w14:textId="77777777" w:rsidTr="00491DA8">
        <w:tc>
          <w:tcPr>
            <w:tcW w:w="1844" w:type="dxa"/>
            <w:tcBorders>
              <w:top w:val="single" w:sz="4" w:space="0" w:color="auto"/>
              <w:left w:val="single" w:sz="4" w:space="0" w:color="auto"/>
              <w:bottom w:val="single" w:sz="4" w:space="0" w:color="auto"/>
              <w:right w:val="single" w:sz="4" w:space="0" w:color="auto"/>
            </w:tcBorders>
          </w:tcPr>
          <w:p w14:paraId="54CAC80B" w14:textId="77777777" w:rsidR="00332BA4" w:rsidRPr="00491DA8" w:rsidRDefault="00332BA4" w:rsidP="00491DA8">
            <w:pPr>
              <w:spacing w:line="276" w:lineRule="auto"/>
              <w:rPr>
                <w:rFonts w:ascii="Calibri" w:hAnsi="Calibri" w:cs="Calibri"/>
                <w:b/>
                <w:bCs/>
                <w:sz w:val="22"/>
                <w:szCs w:val="22"/>
                <w:lang w:val="pl-PL"/>
              </w:rPr>
            </w:pPr>
          </w:p>
          <w:p w14:paraId="02692BCD" w14:textId="77777777" w:rsidR="00332BA4" w:rsidRPr="00491DA8" w:rsidRDefault="00332BA4" w:rsidP="00491DA8">
            <w:pPr>
              <w:spacing w:line="276" w:lineRule="auto"/>
              <w:rPr>
                <w:rFonts w:ascii="Calibri" w:hAnsi="Calibri" w:cs="Calibri"/>
                <w:b/>
                <w:bCs/>
                <w:sz w:val="22"/>
                <w:szCs w:val="22"/>
                <w:lang w:val="pl-PL"/>
              </w:rPr>
            </w:pPr>
          </w:p>
          <w:p w14:paraId="17C20B8D" w14:textId="77777777" w:rsidR="00332BA4" w:rsidRPr="00491DA8" w:rsidRDefault="00332BA4" w:rsidP="00491DA8">
            <w:pPr>
              <w:spacing w:line="276" w:lineRule="auto"/>
              <w:rPr>
                <w:rFonts w:ascii="Calibri" w:hAnsi="Calibri" w:cs="Calibri"/>
                <w:b/>
                <w:bCs/>
                <w:sz w:val="22"/>
                <w:szCs w:val="22"/>
                <w:lang w:val="pl-PL"/>
              </w:rPr>
            </w:pPr>
          </w:p>
          <w:p w14:paraId="0A41DCEC" w14:textId="77777777" w:rsidR="00332BA4" w:rsidRPr="00491DA8" w:rsidRDefault="00332BA4" w:rsidP="00491DA8">
            <w:pPr>
              <w:spacing w:line="276" w:lineRule="auto"/>
              <w:rPr>
                <w:rFonts w:ascii="Calibri" w:hAnsi="Calibri" w:cs="Calibri"/>
                <w:b/>
                <w:bCs/>
                <w:sz w:val="22"/>
                <w:szCs w:val="22"/>
                <w:lang w:val="pl-PL"/>
              </w:rPr>
            </w:pPr>
          </w:p>
          <w:p w14:paraId="1BC4F2CC" w14:textId="77777777" w:rsidR="00332BA4" w:rsidRPr="00491DA8" w:rsidRDefault="00332BA4" w:rsidP="00491DA8">
            <w:pPr>
              <w:spacing w:line="276" w:lineRule="auto"/>
              <w:rPr>
                <w:rFonts w:ascii="Calibri" w:hAnsi="Calibri" w:cs="Calibri"/>
                <w:b/>
                <w:bCs/>
                <w:sz w:val="22"/>
                <w:szCs w:val="22"/>
                <w:lang w:val="pl-PL"/>
              </w:rPr>
            </w:pPr>
          </w:p>
          <w:p w14:paraId="6DA34443" w14:textId="77777777" w:rsidR="00332BA4" w:rsidRPr="00491DA8" w:rsidRDefault="00332BA4" w:rsidP="00491DA8">
            <w:pPr>
              <w:spacing w:line="276" w:lineRule="auto"/>
              <w:rPr>
                <w:rFonts w:ascii="Calibri" w:hAnsi="Calibri" w:cs="Calibri"/>
                <w:b/>
                <w:bCs/>
                <w:sz w:val="22"/>
                <w:szCs w:val="22"/>
                <w:lang w:val="pl-PL"/>
              </w:rPr>
            </w:pPr>
          </w:p>
          <w:p w14:paraId="2B7EBB79" w14:textId="77777777" w:rsidR="00332BA4" w:rsidRPr="00491DA8" w:rsidRDefault="00332BA4" w:rsidP="00491DA8">
            <w:pPr>
              <w:spacing w:line="276" w:lineRule="auto"/>
              <w:rPr>
                <w:rFonts w:ascii="Calibri" w:hAnsi="Calibri" w:cs="Calibri"/>
                <w:b/>
                <w:bCs/>
                <w:sz w:val="22"/>
                <w:szCs w:val="22"/>
                <w:lang w:val="pl-PL"/>
              </w:rPr>
            </w:pPr>
          </w:p>
          <w:p w14:paraId="37EAD19F" w14:textId="77777777" w:rsidR="00332BA4" w:rsidRPr="00491DA8" w:rsidRDefault="00332BA4" w:rsidP="00491DA8">
            <w:pPr>
              <w:spacing w:line="276" w:lineRule="auto"/>
              <w:rPr>
                <w:rFonts w:ascii="Calibri" w:hAnsi="Calibri" w:cs="Calibri"/>
                <w:b/>
                <w:bCs/>
                <w:sz w:val="22"/>
                <w:szCs w:val="22"/>
                <w:lang w:val="pl-PL"/>
              </w:rPr>
            </w:pPr>
          </w:p>
          <w:p w14:paraId="4678913C" w14:textId="77777777" w:rsidR="00332BA4" w:rsidRPr="00491DA8" w:rsidRDefault="00332BA4" w:rsidP="00491DA8">
            <w:pPr>
              <w:spacing w:line="276" w:lineRule="auto"/>
              <w:rPr>
                <w:rFonts w:ascii="Calibri" w:hAnsi="Calibri" w:cs="Calibri"/>
                <w:b/>
                <w:bCs/>
                <w:sz w:val="22"/>
                <w:szCs w:val="22"/>
                <w:lang w:val="pl-PL"/>
              </w:rPr>
            </w:pPr>
          </w:p>
          <w:p w14:paraId="1A6887C9" w14:textId="77777777" w:rsidR="00332BA4" w:rsidRPr="00491DA8" w:rsidRDefault="00332BA4" w:rsidP="00491DA8">
            <w:pPr>
              <w:spacing w:line="276" w:lineRule="auto"/>
              <w:rPr>
                <w:rFonts w:ascii="Calibri" w:hAnsi="Calibri" w:cs="Calibri"/>
                <w:b/>
                <w:bCs/>
                <w:sz w:val="22"/>
                <w:szCs w:val="22"/>
                <w:lang w:val="pl-PL"/>
              </w:rPr>
            </w:pPr>
          </w:p>
          <w:p w14:paraId="372DED75" w14:textId="77777777" w:rsidR="00332BA4" w:rsidRPr="00491DA8" w:rsidRDefault="00332BA4" w:rsidP="00491DA8">
            <w:pPr>
              <w:spacing w:line="276" w:lineRule="auto"/>
              <w:rPr>
                <w:rFonts w:ascii="Calibri" w:hAnsi="Calibri" w:cs="Calibri"/>
                <w:b/>
                <w:bCs/>
                <w:sz w:val="22"/>
                <w:szCs w:val="22"/>
                <w:lang w:val="pl-PL"/>
              </w:rPr>
            </w:pPr>
          </w:p>
          <w:p w14:paraId="77FB6742"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Polityki, Firewall</w:t>
            </w:r>
          </w:p>
        </w:tc>
        <w:tc>
          <w:tcPr>
            <w:tcW w:w="7938" w:type="dxa"/>
            <w:tcBorders>
              <w:top w:val="single" w:sz="4" w:space="0" w:color="auto"/>
              <w:left w:val="single" w:sz="4" w:space="0" w:color="auto"/>
              <w:bottom w:val="single" w:sz="4" w:space="0" w:color="auto"/>
              <w:right w:val="single" w:sz="4" w:space="0" w:color="auto"/>
            </w:tcBorders>
            <w:hideMark/>
          </w:tcPr>
          <w:p w14:paraId="02B5534E" w14:textId="77777777" w:rsidR="00332BA4" w:rsidRPr="00491DA8" w:rsidRDefault="00332BA4">
            <w:pPr>
              <w:numPr>
                <w:ilvl w:val="0"/>
                <w:numId w:val="11"/>
              </w:numPr>
              <w:spacing w:line="276" w:lineRule="auto"/>
              <w:rPr>
                <w:rFonts w:ascii="Calibri" w:hAnsi="Calibri" w:cs="Calibri"/>
                <w:sz w:val="22"/>
                <w:szCs w:val="22"/>
              </w:rPr>
            </w:pPr>
            <w:r>
              <w:rPr>
                <w:rFonts w:ascii="Calibri" w:hAnsi="Calibri" w:cs="Calibri"/>
                <w:sz w:val="22"/>
                <w:szCs w:val="22"/>
              </w:rPr>
              <w:t>polityka Firewall ma uwzględniać: adresy IP, użytkowników, protokoły, usługi sieciowe, aplikacje lub zbiory aplikacji, reakcje zabezpieczeń, rejestrowanie zdarzeń,</w:t>
            </w:r>
          </w:p>
          <w:p w14:paraId="0149826D" w14:textId="77777777" w:rsidR="00332BA4" w:rsidRPr="00491DA8" w:rsidRDefault="00332BA4">
            <w:pPr>
              <w:numPr>
                <w:ilvl w:val="0"/>
                <w:numId w:val="11"/>
              </w:numPr>
              <w:spacing w:line="276" w:lineRule="auto"/>
              <w:rPr>
                <w:rFonts w:ascii="Calibri" w:hAnsi="Calibri" w:cs="Calibri"/>
                <w:sz w:val="22"/>
                <w:szCs w:val="22"/>
              </w:rPr>
            </w:pPr>
            <w:r>
              <w:rPr>
                <w:rFonts w:ascii="Calibri" w:hAnsi="Calibri" w:cs="Calibri"/>
                <w:sz w:val="22"/>
                <w:szCs w:val="22"/>
              </w:rPr>
              <w:t>system ma realizować translację adresów NAT: źródłowego i docelowego, translację PAT oraz: translację jeden do jeden oraz jeden do wielu,</w:t>
            </w:r>
          </w:p>
          <w:p w14:paraId="7C1D2DB8" w14:textId="77777777" w:rsidR="00332BA4" w:rsidRPr="00491DA8" w:rsidRDefault="00332BA4">
            <w:pPr>
              <w:numPr>
                <w:ilvl w:val="0"/>
                <w:numId w:val="11"/>
              </w:numPr>
              <w:spacing w:line="276" w:lineRule="auto"/>
              <w:rPr>
                <w:rFonts w:ascii="Calibri" w:hAnsi="Calibri" w:cs="Calibri"/>
                <w:sz w:val="22"/>
                <w:szCs w:val="22"/>
                <w:lang w:val="en-US"/>
              </w:rPr>
            </w:pPr>
            <w:r>
              <w:rPr>
                <w:rFonts w:ascii="Calibri" w:hAnsi="Calibri" w:cs="Calibri"/>
                <w:sz w:val="22"/>
                <w:szCs w:val="22"/>
                <w:lang w:val="en-US"/>
              </w:rPr>
              <w:t>dedykowany ALG (Application Level Gateway) dla protokołu SIP,</w:t>
            </w:r>
          </w:p>
          <w:p w14:paraId="066FDD6F" w14:textId="77777777" w:rsidR="00332BA4" w:rsidRPr="00491DA8" w:rsidRDefault="00332BA4">
            <w:pPr>
              <w:numPr>
                <w:ilvl w:val="0"/>
                <w:numId w:val="11"/>
              </w:numPr>
              <w:spacing w:line="276" w:lineRule="auto"/>
              <w:rPr>
                <w:rFonts w:ascii="Calibri" w:hAnsi="Calibri" w:cs="Calibri"/>
                <w:sz w:val="22"/>
                <w:szCs w:val="22"/>
                <w:lang w:val="pl-PL"/>
              </w:rPr>
            </w:pPr>
            <w:r>
              <w:rPr>
                <w:rFonts w:ascii="Calibri" w:hAnsi="Calibri" w:cs="Calibri"/>
                <w:sz w:val="22"/>
                <w:szCs w:val="22"/>
              </w:rPr>
              <w:t>w ramach systemu ma istnieć możliwość tworzenia wydzielonych stref bezpieczeństwa np. DMZ, LAN, WAN,</w:t>
            </w:r>
          </w:p>
          <w:p w14:paraId="0C8E99DC" w14:textId="77777777" w:rsidR="00332BA4" w:rsidRPr="00491DA8" w:rsidRDefault="00332BA4">
            <w:pPr>
              <w:numPr>
                <w:ilvl w:val="0"/>
                <w:numId w:val="11"/>
              </w:numPr>
              <w:spacing w:line="276" w:lineRule="auto"/>
              <w:rPr>
                <w:rFonts w:ascii="Calibri" w:hAnsi="Calibri" w:cs="Calibri"/>
                <w:sz w:val="22"/>
                <w:szCs w:val="22"/>
              </w:rPr>
            </w:pPr>
            <w:r>
              <w:rPr>
                <w:rFonts w:ascii="Calibri" w:hAnsi="Calibri" w:cs="Calibri"/>
                <w:sz w:val="22"/>
                <w:szCs w:val="22"/>
              </w:rPr>
              <w:t>możliwość wykorzystania w polityce bezpieczeństwa zewnętrznych repozytoriów zawierających: kategorie URL, adresy IP,</w:t>
            </w:r>
          </w:p>
          <w:p w14:paraId="55B138AE" w14:textId="77777777" w:rsidR="00332BA4" w:rsidRPr="00491DA8" w:rsidRDefault="00332BA4">
            <w:pPr>
              <w:numPr>
                <w:ilvl w:val="0"/>
                <w:numId w:val="11"/>
              </w:numPr>
              <w:spacing w:line="276" w:lineRule="auto"/>
              <w:rPr>
                <w:rFonts w:ascii="Calibri" w:hAnsi="Calibri" w:cs="Calibri"/>
                <w:sz w:val="22"/>
                <w:szCs w:val="22"/>
              </w:rPr>
            </w:pPr>
            <w:r>
              <w:rPr>
                <w:rFonts w:ascii="Calibri" w:hAnsi="Calibri" w:cs="Calibri"/>
                <w:sz w:val="22"/>
                <w:szCs w:val="22"/>
              </w:rPr>
              <w:t>polityka firewall ma umożliwiać filtrowanie ruchu w zależności od kraju, do którego przypisane są adresy IP źródłowe lub docelowe,</w:t>
            </w:r>
          </w:p>
          <w:p w14:paraId="0AD8480D" w14:textId="77777777" w:rsidR="00332BA4" w:rsidRPr="00491DA8" w:rsidRDefault="00332BA4">
            <w:pPr>
              <w:numPr>
                <w:ilvl w:val="0"/>
                <w:numId w:val="11"/>
              </w:numPr>
              <w:spacing w:line="276" w:lineRule="auto"/>
              <w:rPr>
                <w:rFonts w:ascii="Calibri" w:hAnsi="Calibri" w:cs="Calibri"/>
                <w:sz w:val="22"/>
                <w:szCs w:val="22"/>
              </w:rPr>
            </w:pPr>
            <w:r>
              <w:rPr>
                <w:rFonts w:ascii="Calibri" w:hAnsi="Calibri" w:cs="Calibri"/>
                <w:sz w:val="22"/>
                <w:szCs w:val="22"/>
              </w:rPr>
              <w:t>możliwość ustawienia przedziału czasu, w którym dana reguła w politykach firewall jest aktywna,</w:t>
            </w:r>
          </w:p>
          <w:p w14:paraId="1D5A1184" w14:textId="71FBAEC9" w:rsidR="00332BA4" w:rsidRPr="006A6AC6" w:rsidRDefault="006A6AC6">
            <w:pPr>
              <w:numPr>
                <w:ilvl w:val="0"/>
                <w:numId w:val="11"/>
              </w:numPr>
              <w:spacing w:line="276" w:lineRule="auto"/>
              <w:rPr>
                <w:rFonts w:ascii="Calibri" w:hAnsi="Calibri" w:cs="Calibri"/>
                <w:sz w:val="22"/>
                <w:szCs w:val="22"/>
                <w:lang w:val="pl-PL"/>
              </w:rPr>
            </w:pPr>
            <w:r>
              <w:rPr>
                <w:rFonts w:ascii="Calibri" w:hAnsi="Calibri" w:cs="Calibri"/>
                <w:sz w:val="22"/>
                <w:szCs w:val="22"/>
                <w:lang w:val="pl-PL"/>
              </w:rPr>
              <w:t xml:space="preserve">możliwość integracji z zewnętrznymi platformami chmurowymi i wirtualizacyjnymi poprzez API. </w:t>
            </w:r>
          </w:p>
        </w:tc>
      </w:tr>
      <w:tr w:rsidR="00332BA4" w:rsidRPr="00491DA8" w14:paraId="08FD9762"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03A0DC6B"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Połączenia VPN</w:t>
            </w:r>
          </w:p>
        </w:tc>
        <w:tc>
          <w:tcPr>
            <w:tcW w:w="7938" w:type="dxa"/>
            <w:tcBorders>
              <w:top w:val="single" w:sz="4" w:space="0" w:color="auto"/>
              <w:left w:val="single" w:sz="4" w:space="0" w:color="auto"/>
              <w:bottom w:val="single" w:sz="4" w:space="0" w:color="auto"/>
              <w:right w:val="single" w:sz="4" w:space="0" w:color="auto"/>
            </w:tcBorders>
            <w:hideMark/>
          </w:tcPr>
          <w:p w14:paraId="4D34A9EB"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 xml:space="preserve">System ma umożliwiać konfigurację połączeń typu IPSec VPN. W zakresie tej funkcji zapewnia: </w:t>
            </w:r>
          </w:p>
          <w:p w14:paraId="78678D49"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lastRenderedPageBreak/>
              <w:t>wsparcie dla IKE v1 oraz v2,</w:t>
            </w:r>
          </w:p>
          <w:p w14:paraId="37A41F75" w14:textId="7C1FC89E"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obsługę szyfrowania protokołem minimum AES z kluczem 128 oraz 256 bitów w trybie pracy Galois/Counter Mode (GCM),</w:t>
            </w:r>
          </w:p>
          <w:p w14:paraId="2E57A1BF"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obsługa protokołu Diffie-Hellman grup 19, 20,</w:t>
            </w:r>
          </w:p>
          <w:p w14:paraId="72E4F8D8"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wsparcie dla Pracy w topologii Hub and Spoke oraz Mesh,</w:t>
            </w:r>
          </w:p>
          <w:p w14:paraId="552B7C37"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tworzenie połączeń typu Site-to-Site oraz Client-to-Site,</w:t>
            </w:r>
          </w:p>
          <w:p w14:paraId="00492CAA"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monitorowanie stanu tuneli VPN i stałego utrzymywania ich aktywności,</w:t>
            </w:r>
          </w:p>
          <w:p w14:paraId="124331B4"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możliwość wyboru tunelu przez protokoły: dynamicznego routingu (np. OSPF) oraz routingu statycznego,</w:t>
            </w:r>
          </w:p>
          <w:p w14:paraId="36D685DB"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wsparcie dla następujących typów uwierzytelniania: pre-shared key, certyfikat,</w:t>
            </w:r>
          </w:p>
          <w:p w14:paraId="5EDA04FE"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możliwość ustawienia maksymalnej liczby tuneli IPSec negocjowanych (nawiązywanych) jednocześnie w celu ochrony zasobów systemu,</w:t>
            </w:r>
          </w:p>
          <w:p w14:paraId="6CFE7FE7"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możliwość monitorowania wybranego tunelu IPSec site-to-site i w przypadku jego niedostępności automatycznego aktywowania zapasowego tunelu,</w:t>
            </w:r>
          </w:p>
          <w:p w14:paraId="7A7DB5E1"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obsługę mechanizmów: IPSec NAT Traversal, DPD, Xauth,</w:t>
            </w:r>
          </w:p>
          <w:p w14:paraId="43B76768"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mechanizm „Split tunneling” dla połączeń Client-to-Site.</w:t>
            </w:r>
          </w:p>
          <w:p w14:paraId="6E06E58F" w14:textId="77777777" w:rsidR="00332BA4" w:rsidRPr="00491DA8" w:rsidRDefault="00332BA4">
            <w:pPr>
              <w:numPr>
                <w:ilvl w:val="0"/>
                <w:numId w:val="12"/>
              </w:numPr>
              <w:spacing w:line="276" w:lineRule="auto"/>
              <w:rPr>
                <w:rFonts w:ascii="Calibri" w:hAnsi="Calibri" w:cs="Calibri"/>
                <w:sz w:val="22"/>
                <w:szCs w:val="22"/>
              </w:rPr>
            </w:pPr>
            <w:r>
              <w:rPr>
                <w:rFonts w:ascii="Calibri" w:hAnsi="Calibri" w:cs="Calibri"/>
                <w:sz w:val="22"/>
                <w:szCs w:val="22"/>
              </w:rPr>
              <w:t xml:space="preserve">System ma umożliwiać konfigurację połączeń typu SSL VPN. W zakresie tej funkcji zapewnia: </w:t>
            </w:r>
          </w:p>
          <w:p w14:paraId="17DAD27D" w14:textId="77777777" w:rsidR="00936AF0" w:rsidRPr="00491DA8" w:rsidRDefault="00332BA4">
            <w:pPr>
              <w:numPr>
                <w:ilvl w:val="1"/>
                <w:numId w:val="12"/>
              </w:numPr>
              <w:spacing w:line="276" w:lineRule="auto"/>
              <w:rPr>
                <w:rFonts w:ascii="Calibri" w:hAnsi="Calibri" w:cs="Calibri"/>
                <w:sz w:val="22"/>
                <w:szCs w:val="22"/>
              </w:rPr>
            </w:pPr>
            <w:r>
              <w:rPr>
                <w:rFonts w:ascii="Calibri" w:hAnsi="Calibri" w:cs="Calibri"/>
                <w:sz w:val="22"/>
                <w:szCs w:val="22"/>
              </w:rPr>
              <w:t xml:space="preserve">pracę w trybie Portal </w:t>
            </w:r>
          </w:p>
          <w:p w14:paraId="19A1848E" w14:textId="3BADDBEC" w:rsidR="00332BA4" w:rsidRPr="00491DA8" w:rsidRDefault="00332BA4">
            <w:pPr>
              <w:numPr>
                <w:ilvl w:val="1"/>
                <w:numId w:val="12"/>
              </w:numPr>
              <w:spacing w:line="276" w:lineRule="auto"/>
              <w:rPr>
                <w:rFonts w:ascii="Calibri" w:hAnsi="Calibri" w:cs="Calibri"/>
                <w:sz w:val="22"/>
                <w:szCs w:val="22"/>
              </w:rPr>
            </w:pPr>
            <w:r>
              <w:rPr>
                <w:rFonts w:ascii="Calibri" w:hAnsi="Calibri" w:cs="Calibri"/>
                <w:sz w:val="22"/>
                <w:szCs w:val="22"/>
              </w:rPr>
              <w:t>gdzie dostęp do chronionych zasobów realizowany jest za pośrednictwem przeglądarki. W tym zakresie system zapewnia stronę komunikacyjną działającą w oparciu o HTML 5.0.,</w:t>
            </w:r>
          </w:p>
          <w:p w14:paraId="6466FAC0" w14:textId="77777777" w:rsidR="00332BA4" w:rsidRPr="00491DA8" w:rsidRDefault="00332BA4">
            <w:pPr>
              <w:numPr>
                <w:ilvl w:val="1"/>
                <w:numId w:val="12"/>
              </w:numPr>
              <w:spacing w:line="276" w:lineRule="auto"/>
              <w:rPr>
                <w:rFonts w:ascii="Calibri" w:hAnsi="Calibri" w:cs="Calibri"/>
                <w:sz w:val="22"/>
                <w:szCs w:val="22"/>
              </w:rPr>
            </w:pPr>
            <w:r>
              <w:rPr>
                <w:rFonts w:ascii="Calibri" w:hAnsi="Calibri" w:cs="Calibri"/>
                <w:sz w:val="22"/>
                <w:szCs w:val="22"/>
              </w:rPr>
              <w:t xml:space="preserve">pracę w trybie Tunnel z możliwością włączenia funkcji „Split tunneling” przy zastosowaniu dedykowanego klienta. </w:t>
            </w:r>
          </w:p>
          <w:p w14:paraId="5DAE764F"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 xml:space="preserve">Producent rozwiązania ma posiadać w ofercie oprogramowanie klienckie VPN, które umożliwia realizację połączeń IPSec VPN lub SSL VPN. Oprogramowanie klienckie vpn ma być dostępne jako opcja i nie jest wymagane w implementacji. </w:t>
            </w:r>
          </w:p>
        </w:tc>
      </w:tr>
      <w:tr w:rsidR="00332BA4" w:rsidRPr="00491DA8" w14:paraId="0AB4467A"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03A5468C"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lastRenderedPageBreak/>
              <w:t>Routing i obsługa łączy WAN</w:t>
            </w:r>
          </w:p>
        </w:tc>
        <w:tc>
          <w:tcPr>
            <w:tcW w:w="7938" w:type="dxa"/>
            <w:tcBorders>
              <w:top w:val="single" w:sz="4" w:space="0" w:color="auto"/>
              <w:left w:val="single" w:sz="4" w:space="0" w:color="auto"/>
              <w:bottom w:val="single" w:sz="4" w:space="0" w:color="auto"/>
              <w:right w:val="single" w:sz="4" w:space="0" w:color="auto"/>
            </w:tcBorders>
            <w:hideMark/>
          </w:tcPr>
          <w:p w14:paraId="76902852"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W zakresie routingu rozwiązanie zapewnia obsługę:</w:t>
            </w:r>
          </w:p>
          <w:p w14:paraId="1367CC3A"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routingu statycznego,</w:t>
            </w:r>
          </w:p>
          <w:p w14:paraId="1012790E"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Policy Based Routingu (w tym: wybór trasy w zależności od adresu źródłowego, protokołu sieciowego, oznaczeń Type of Service w nagłówkach IP),</w:t>
            </w:r>
          </w:p>
          <w:p w14:paraId="2FBAD977"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protokołów dynamicznego routingu w oparciu o protokoły: RIPv2 (w tym RIPng), OSPF (w tym OSPFv3), BGP oraz PIM,</w:t>
            </w:r>
          </w:p>
          <w:p w14:paraId="2E3579BB"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możliwość filtrowania tras rozgłaszanych w protokołach dynamicznego routingu</w:t>
            </w:r>
          </w:p>
          <w:p w14:paraId="548BCA0F"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ECMP (Equal cost multi-path) – wybór wielu równoważnych tras w tablicy routingu,</w:t>
            </w:r>
          </w:p>
          <w:p w14:paraId="11D37419"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BFD (Bidirectional Forwarding Detection)</w:t>
            </w:r>
          </w:p>
          <w:p w14:paraId="7819A3F8"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 xml:space="preserve">monitoringu dostępności wybranego adresu IP z danego interfejsu urządzenia i w przypadku jego niedostępności automatyczne usunięcie wybranych tras z tablicy routingu. </w:t>
            </w:r>
          </w:p>
        </w:tc>
      </w:tr>
      <w:tr w:rsidR="00332BA4" w:rsidRPr="00491DA8" w14:paraId="1E9C73D9"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410060A8"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Funkcje SD-WAN</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688D88F"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t>system ma umożliwiać wykorzystanie protokołów dynamicznego routingu przy konfiguracji równoważenia obciążenia do łączy WAN,</w:t>
            </w:r>
          </w:p>
          <w:p w14:paraId="0AE8C363" w14:textId="77777777" w:rsidR="00332BA4" w:rsidRPr="00491DA8" w:rsidRDefault="00332BA4">
            <w:pPr>
              <w:numPr>
                <w:ilvl w:val="0"/>
                <w:numId w:val="13"/>
              </w:numPr>
              <w:spacing w:line="276" w:lineRule="auto"/>
              <w:rPr>
                <w:rFonts w:ascii="Calibri" w:hAnsi="Calibri" w:cs="Calibri"/>
                <w:sz w:val="22"/>
                <w:szCs w:val="22"/>
              </w:rPr>
            </w:pPr>
            <w:r>
              <w:rPr>
                <w:rFonts w:ascii="Calibri" w:hAnsi="Calibri" w:cs="Calibri"/>
                <w:sz w:val="22"/>
                <w:szCs w:val="22"/>
              </w:rPr>
              <w:lastRenderedPageBreak/>
              <w:t>SD-WAN wspiera zarówno interfejsy fizyczne jak i wirtualne (w tym VLAN, IPSec).</w:t>
            </w:r>
          </w:p>
        </w:tc>
      </w:tr>
      <w:tr w:rsidR="00332BA4" w:rsidRPr="00491DA8" w14:paraId="6427AB49"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73151F39"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lastRenderedPageBreak/>
              <w:t>Zarządzanie pasmem</w:t>
            </w:r>
          </w:p>
        </w:tc>
        <w:tc>
          <w:tcPr>
            <w:tcW w:w="7938" w:type="dxa"/>
            <w:tcBorders>
              <w:top w:val="single" w:sz="4" w:space="0" w:color="auto"/>
              <w:left w:val="single" w:sz="4" w:space="0" w:color="auto"/>
              <w:bottom w:val="single" w:sz="4" w:space="0" w:color="auto"/>
              <w:right w:val="single" w:sz="4" w:space="0" w:color="auto"/>
            </w:tcBorders>
            <w:hideMark/>
          </w:tcPr>
          <w:p w14:paraId="0C5BD448"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Firewall ma umożliwiać zarządzanie pasmem poprzez określenie: maksymalnej i gwarantowanej ilości pasma, oznaczanie DSCP oraz wskazanie priorytetu ruchu,</w:t>
            </w:r>
          </w:p>
          <w:p w14:paraId="39EB8A53"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dawać możliwość określania pasma dla poszczególnych aplikacji,</w:t>
            </w:r>
          </w:p>
          <w:p w14:paraId="1C266686"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pozwalać na zdefiniowania pasma dla wybranych użytkowników niezależnie od ich adresu IP,</w:t>
            </w:r>
          </w:p>
          <w:p w14:paraId="0837EA64"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 xml:space="preserve">system zapewnia możliwość zarządzania pasmem dla wybranych kategorii URL. </w:t>
            </w:r>
          </w:p>
        </w:tc>
      </w:tr>
      <w:tr w:rsidR="00332BA4" w:rsidRPr="00491DA8" w14:paraId="446AFCE8"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60E2E8C2"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Ochrona przed malware</w:t>
            </w:r>
          </w:p>
        </w:tc>
        <w:tc>
          <w:tcPr>
            <w:tcW w:w="7938" w:type="dxa"/>
            <w:tcBorders>
              <w:top w:val="single" w:sz="4" w:space="0" w:color="auto"/>
              <w:left w:val="single" w:sz="4" w:space="0" w:color="auto"/>
              <w:bottom w:val="single" w:sz="4" w:space="0" w:color="auto"/>
              <w:right w:val="single" w:sz="4" w:space="0" w:color="auto"/>
            </w:tcBorders>
            <w:hideMark/>
          </w:tcPr>
          <w:p w14:paraId="7C084120"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silnik antywirusowy ma umożliwiać skanowanie ruchu w obu kierunkach komunikacji dla protokołów działających na niestandardowych portach (np. FTP na porcie 2021),</w:t>
            </w:r>
          </w:p>
          <w:p w14:paraId="63B762FB"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silnik antywirusowy ma zapewniać skanowanie następujących protokołów: HTTP, HTTPS, FTP, POP3, IMAP, SMTP, CIFS,</w:t>
            </w:r>
          </w:p>
          <w:p w14:paraId="0D5D28DA"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umożliwiać skanowanie archiwów, w tym co najmniej: Zip, RAR. W przypadku archiwów zagnieżdżonych istnieje możliwość określenia, ile zagnieżdżeń kompresji system będzie próbował zdekompresować w celu przeskanowania zawartości,</w:t>
            </w:r>
          </w:p>
          <w:p w14:paraId="49F4FBBA"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umożliwiać blokowanie i logowanie archiwów, które nie mogą zostać przeskanowane, ponieważ są zaszyfrowane, uszkodzone lub system nie wspiera inspekcji tego typu archiwów,</w:t>
            </w:r>
          </w:p>
          <w:p w14:paraId="5669E1D1"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dysponować sygnaturami do ochrony urządzeń mobilnych (co najmniej dla systemu operacyjnego Android),</w:t>
            </w:r>
          </w:p>
          <w:p w14:paraId="3708E133"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baza sygnatur musi być aktualizowana automatycznie, zgodnie z harmonogramem definiowanym przez administratora,</w:t>
            </w:r>
          </w:p>
          <w:p w14:paraId="6AB425EF"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może współpracować z platformą typu Sandbox realizowaną lokalnie lub w chmurze (opcjonalnie),</w:t>
            </w:r>
          </w:p>
          <w:p w14:paraId="1C203BCF"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zapewniać usuwanie aktywnej zawartości plików PDF oraz Microsoft Office bez konieczności blokowania transferu całych plików,</w:t>
            </w:r>
          </w:p>
          <w:p w14:paraId="1BA342F4"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możliwość wykorzystania silnika sztucznej inteligencji AI wytrenowanego przez laboratoria producenta,</w:t>
            </w:r>
          </w:p>
          <w:p w14:paraId="614C3A71"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możliwość uruchomienia ochrony przed malware dla wybranego zakresu ruchu.</w:t>
            </w:r>
          </w:p>
        </w:tc>
      </w:tr>
      <w:tr w:rsidR="00332BA4" w:rsidRPr="00491DA8" w14:paraId="5EF4D86B" w14:textId="77777777" w:rsidTr="00491DA8">
        <w:tc>
          <w:tcPr>
            <w:tcW w:w="1844" w:type="dxa"/>
            <w:tcBorders>
              <w:top w:val="single" w:sz="4" w:space="0" w:color="auto"/>
              <w:left w:val="single" w:sz="4" w:space="0" w:color="auto"/>
              <w:bottom w:val="single" w:sz="4" w:space="0" w:color="auto"/>
              <w:right w:val="single" w:sz="4" w:space="0" w:color="auto"/>
            </w:tcBorders>
            <w:hideMark/>
          </w:tcPr>
          <w:p w14:paraId="577533C9"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Ochrona przed atakami</w:t>
            </w:r>
          </w:p>
        </w:tc>
        <w:tc>
          <w:tcPr>
            <w:tcW w:w="7938" w:type="dxa"/>
            <w:tcBorders>
              <w:top w:val="single" w:sz="4" w:space="0" w:color="auto"/>
              <w:left w:val="single" w:sz="4" w:space="0" w:color="auto"/>
              <w:bottom w:val="single" w:sz="4" w:space="0" w:color="auto"/>
              <w:right w:val="single" w:sz="4" w:space="0" w:color="auto"/>
            </w:tcBorders>
            <w:hideMark/>
          </w:tcPr>
          <w:p w14:paraId="46508840"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ochrona IPS opiera się co najmniej na analizie sygnaturowej oraz na analizie anomalii w protokołach sieciowych,</w:t>
            </w:r>
          </w:p>
          <w:p w14:paraId="1A87DE1D"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system ma chronić przed atakami na aplikacje pracujące na niestandardowych portach,</w:t>
            </w:r>
          </w:p>
          <w:p w14:paraId="6960B05C"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baza sygnatur ataków zawierać ma minimum 5000 wpisów i być aktualizowana automatycznie, zgodnie z harmonogramem definiowanym przez administratora,</w:t>
            </w:r>
          </w:p>
          <w:p w14:paraId="3D5AB19B"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administrator systemu ma możliwość definiowania własnych wyjątków oraz własnych sygnatur,</w:t>
            </w:r>
          </w:p>
          <w:p w14:paraId="5B5C6EA2"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system ma zapewniać wykrywanie anomalii protokołów i ruchu sieciowego, realizując tym samym podstawową ochronę przed atakami typu DoS oraz DDoS,</w:t>
            </w:r>
          </w:p>
          <w:p w14:paraId="040D2934"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lastRenderedPageBreak/>
              <w:t>mechanizmy ochrony dla aplikacji Web’owych na poziomie sygnaturowym (co najmniej ochrona przed: CSS, SQL Injecton, Trojany, Exploity, Roboty),</w:t>
            </w:r>
          </w:p>
          <w:p w14:paraId="07F25608"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możliwość kontrolowania długości nagłówka, ilości parametrów URL oraz Cookies dla protokołu http,</w:t>
            </w:r>
          </w:p>
          <w:p w14:paraId="76DB35D6"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wykrywanie i blokowanie komunikacji C&amp;C do sieci botnet,</w:t>
            </w:r>
          </w:p>
          <w:p w14:paraId="52AD5724"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 xml:space="preserve">możliwość uruchomienia ochrony przed atakami dla wybranych zakresów komunikacji sieciowej. Mechanizmy ochrony IPS nie mogą działać globalnie. </w:t>
            </w:r>
          </w:p>
        </w:tc>
      </w:tr>
      <w:tr w:rsidR="00332BA4" w:rsidRPr="00491DA8" w14:paraId="557F7606" w14:textId="77777777" w:rsidTr="00491DA8">
        <w:tc>
          <w:tcPr>
            <w:tcW w:w="1844" w:type="dxa"/>
            <w:tcBorders>
              <w:top w:val="single" w:sz="4" w:space="0" w:color="auto"/>
              <w:left w:val="single" w:sz="4" w:space="0" w:color="auto"/>
              <w:bottom w:val="single" w:sz="4" w:space="0" w:color="auto"/>
              <w:right w:val="single" w:sz="4" w:space="0" w:color="auto"/>
            </w:tcBorders>
            <w:vAlign w:val="center"/>
          </w:tcPr>
          <w:p w14:paraId="721F60A0" w14:textId="77777777" w:rsidR="00332BA4" w:rsidRPr="00491DA8" w:rsidRDefault="00332BA4" w:rsidP="00491DA8">
            <w:pPr>
              <w:spacing w:line="276" w:lineRule="auto"/>
              <w:rPr>
                <w:rFonts w:ascii="Calibri" w:hAnsi="Calibri" w:cs="Calibri"/>
                <w:b/>
                <w:bCs/>
                <w:sz w:val="22"/>
                <w:szCs w:val="22"/>
                <w:lang w:val="pl-PL"/>
              </w:rPr>
            </w:pPr>
          </w:p>
          <w:p w14:paraId="38CADF93"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Kontrola aplikacji</w:t>
            </w:r>
          </w:p>
        </w:tc>
        <w:tc>
          <w:tcPr>
            <w:tcW w:w="7938" w:type="dxa"/>
            <w:tcBorders>
              <w:top w:val="single" w:sz="4" w:space="0" w:color="auto"/>
              <w:left w:val="single" w:sz="4" w:space="0" w:color="auto"/>
              <w:bottom w:val="single" w:sz="4" w:space="0" w:color="auto"/>
              <w:right w:val="single" w:sz="4" w:space="0" w:color="auto"/>
            </w:tcBorders>
            <w:hideMark/>
          </w:tcPr>
          <w:p w14:paraId="59EFD135"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funkcja Kontroli Aplikacji ma umożliwać kontrolę ruchu na podstawie głębokiej analizy pakietów, nie bazując jedynie na wartościach portów TCP/UDP,</w:t>
            </w:r>
          </w:p>
          <w:p w14:paraId="6039D10B"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Baza Kontroli Aplikacji ma zawierc minimum 2000 sygnatur i jest aktualizowana automatycznie, zgodnie z harmonogramem definiowanym przez administratora,</w:t>
            </w:r>
          </w:p>
          <w:p w14:paraId="25157754"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aplikacje chmurowe (co najmniej z kategorii: file-sharing, media społecznościowe, narzędzia do współpracy) są kontrolowane pod względem wykonywanych czynności, np.: pobieranie, wysyłanie plików,</w:t>
            </w:r>
          </w:p>
          <w:p w14:paraId="438F8D4F"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baza sygnatur ma zawierać kategorie aplikacji szczególnie istotne z punktu widzenia bezpieczeństwa: proxy, P2P,</w:t>
            </w:r>
          </w:p>
          <w:p w14:paraId="752CE796"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administrator systemu ma mieć możliwość definiowania wyjątków oraz własnych sygnatur,</w:t>
            </w:r>
          </w:p>
          <w:p w14:paraId="56BD682B"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ma istnieć możliwość blokowania aplikacji działających na niestandardowych portach (np. FTP na porcie 2021),</w:t>
            </w:r>
          </w:p>
          <w:p w14:paraId="3B520B12"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t>system ma dawać możliwość określenia dopuszczalnych protokołów na danym porcie TCP/UDP i blokowania pozostałych protokołów korzystających z tego portu (np. dopuszczenie tylko HTTP na porcie 80).</w:t>
            </w:r>
          </w:p>
        </w:tc>
      </w:tr>
      <w:tr w:rsidR="00332BA4" w:rsidRPr="00491DA8" w14:paraId="065353F4"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15DF9EC5"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Kontrola WWW</w:t>
            </w:r>
          </w:p>
        </w:tc>
        <w:tc>
          <w:tcPr>
            <w:tcW w:w="7938" w:type="dxa"/>
            <w:tcBorders>
              <w:top w:val="single" w:sz="4" w:space="0" w:color="auto"/>
              <w:left w:val="single" w:sz="4" w:space="0" w:color="auto"/>
              <w:bottom w:val="single" w:sz="4" w:space="0" w:color="auto"/>
              <w:right w:val="single" w:sz="4" w:space="0" w:color="auto"/>
            </w:tcBorders>
            <w:hideMark/>
          </w:tcPr>
          <w:p w14:paraId="3EDAB632"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moduł kontroli WWW ma korzystać z bazy zawierającej co najmniej 40 milionów adresów URL pogrupowanych w kategorie tematyczne,</w:t>
            </w:r>
          </w:p>
          <w:p w14:paraId="678C72B4"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w ramach filtra WWW są dostępne kategorie istotne z punktu widzenia bezpieczeństwa, jak: malware (lub inne będące źródłem złośliwego oprogramowania), phishing, spam, Dynamic DNS, proxy,</w:t>
            </w:r>
          </w:p>
          <w:p w14:paraId="12195BBB"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filtr WWW ma dostarczać kategorie stron zabronionych prawem np.: Hazard,</w:t>
            </w:r>
          </w:p>
          <w:p w14:paraId="71E0BD78"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administrator ma możliwość nadpisywania kategorii oraz tworzenia wyjątków – białe/czarne listy dla adresów URL,</w:t>
            </w:r>
          </w:p>
          <w:p w14:paraId="55D188B2"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filtr WWW umożliwia statyczne dopuszczanie lub blokowanie ruchu do wybranych stron WWW, w tym pozwala definiować strony z zastosowaniem wyrażeń regularnych (Regex),</w:t>
            </w:r>
          </w:p>
          <w:p w14:paraId="62760847"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filtr WWW ma dawać możliwość wykonania akcji typu „Warning” – ostrzeżenie użytkownika wymagające od niego potwierdzenia przed otwarciem żądanej strony,</w:t>
            </w:r>
          </w:p>
          <w:p w14:paraId="6528700C"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 xml:space="preserve">funkcja Safe Search – przeciwdziałająca pojawieniu się niechcianych treści w wynikach popularnych wyszukiwarek internetowych, </w:t>
            </w:r>
          </w:p>
          <w:p w14:paraId="5B5F578C" w14:textId="77777777" w:rsidR="00332BA4" w:rsidRPr="00491DA8" w:rsidRDefault="00332BA4">
            <w:pPr>
              <w:numPr>
                <w:ilvl w:val="0"/>
                <w:numId w:val="15"/>
              </w:numPr>
              <w:spacing w:line="276" w:lineRule="auto"/>
              <w:rPr>
                <w:rFonts w:ascii="Calibri" w:hAnsi="Calibri" w:cs="Calibri"/>
                <w:sz w:val="22"/>
                <w:szCs w:val="22"/>
              </w:rPr>
            </w:pPr>
            <w:r>
              <w:rPr>
                <w:rFonts w:ascii="Calibri" w:hAnsi="Calibri" w:cs="Calibri"/>
                <w:sz w:val="22"/>
                <w:szCs w:val="22"/>
              </w:rPr>
              <w:t>administrator ma możliwość definiowania komunikatów zwracanych użytkownikowi dla różnych akcji podejmowanych przez moduł filtrowania WWW,</w:t>
            </w:r>
          </w:p>
          <w:p w14:paraId="73AE71DE" w14:textId="77777777" w:rsidR="00332BA4" w:rsidRPr="00491DA8" w:rsidRDefault="00332BA4">
            <w:pPr>
              <w:numPr>
                <w:ilvl w:val="0"/>
                <w:numId w:val="14"/>
              </w:numPr>
              <w:spacing w:line="276" w:lineRule="auto"/>
              <w:rPr>
                <w:rFonts w:ascii="Calibri" w:hAnsi="Calibri" w:cs="Calibri"/>
                <w:sz w:val="22"/>
                <w:szCs w:val="22"/>
              </w:rPr>
            </w:pPr>
            <w:r>
              <w:rPr>
                <w:rFonts w:ascii="Calibri" w:hAnsi="Calibri" w:cs="Calibri"/>
                <w:sz w:val="22"/>
                <w:szCs w:val="22"/>
              </w:rPr>
              <w:lastRenderedPageBreak/>
              <w:t xml:space="preserve">system ma pozwalać na określenie, dla których kategorii URL lub wskazanych URL nie będzie realizowana inspekcja szyfrowanej komunikacji. </w:t>
            </w:r>
          </w:p>
        </w:tc>
      </w:tr>
      <w:tr w:rsidR="00332BA4" w:rsidRPr="00491DA8" w14:paraId="33AEDF1A"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45C86652"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lastRenderedPageBreak/>
              <w:t>Uwierzytelnianie użytkowników w ramach sesji</w:t>
            </w:r>
          </w:p>
        </w:tc>
        <w:tc>
          <w:tcPr>
            <w:tcW w:w="7938" w:type="dxa"/>
            <w:tcBorders>
              <w:top w:val="single" w:sz="4" w:space="0" w:color="auto"/>
              <w:left w:val="single" w:sz="4" w:space="0" w:color="auto"/>
              <w:bottom w:val="single" w:sz="4" w:space="0" w:color="auto"/>
              <w:right w:val="single" w:sz="4" w:space="0" w:color="auto"/>
            </w:tcBorders>
            <w:hideMark/>
          </w:tcPr>
          <w:p w14:paraId="340A37D9"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System Firewall ma umożliwiać weryfikację tożsamości użytkowników za pomocą:</w:t>
            </w:r>
          </w:p>
          <w:p w14:paraId="070D546E"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haseł statycznych i definicji użytkowników przechowywanych w lokalnej bazie systemu,</w:t>
            </w:r>
          </w:p>
          <w:p w14:paraId="256CB636"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haseł statycznych i definicji użytkowników przechowywanych w bazach zgodnych z LDAP,</w:t>
            </w:r>
          </w:p>
          <w:p w14:paraId="5696FC93"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haseł dynamicznych OTP (RADIUS, TOTP/HOTP zgodny z RFC 6238/4226) w oparciu o zewnętrzne bazy danych,</w:t>
            </w:r>
          </w:p>
          <w:p w14:paraId="79646DC3"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system daje możliwość zastosowania w tym procesie uwierzytelniania dwuskładnikowego,</w:t>
            </w:r>
          </w:p>
          <w:p w14:paraId="1CD3D44B"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system umożliwia budowę architektury uwierzytelniania typu Single Sign On przy integracji ze środowiskiem Active Directory oraz zastosowanie innych mechanizmów: RADIUS, API lub SYSLOG w tym procesie,</w:t>
            </w:r>
          </w:p>
          <w:p w14:paraId="0583FDDE" w14:textId="77777777" w:rsidR="00332BA4" w:rsidRPr="00491DA8" w:rsidRDefault="00332BA4">
            <w:pPr>
              <w:numPr>
                <w:ilvl w:val="0"/>
                <w:numId w:val="16"/>
              </w:numPr>
              <w:spacing w:line="276" w:lineRule="auto"/>
              <w:rPr>
                <w:rFonts w:ascii="Calibri" w:hAnsi="Calibri" w:cs="Calibri"/>
                <w:sz w:val="22"/>
                <w:szCs w:val="22"/>
              </w:rPr>
            </w:pPr>
            <w:r>
              <w:rPr>
                <w:rFonts w:ascii="Calibri" w:hAnsi="Calibri" w:cs="Calibri"/>
                <w:sz w:val="22"/>
                <w:szCs w:val="22"/>
              </w:rPr>
              <w:t xml:space="preserve">uwierzytelnianie w oparciu o protokół SAML w politykach bezpieczeństwa systemu dotyczących ruchu HTTP.  </w:t>
            </w:r>
          </w:p>
        </w:tc>
      </w:tr>
      <w:tr w:rsidR="00332BA4" w:rsidRPr="00491DA8" w14:paraId="4C561655"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56B1BDCA"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Zarządzanie</w:t>
            </w:r>
          </w:p>
        </w:tc>
        <w:tc>
          <w:tcPr>
            <w:tcW w:w="7938" w:type="dxa"/>
            <w:tcBorders>
              <w:top w:val="single" w:sz="4" w:space="0" w:color="auto"/>
              <w:left w:val="single" w:sz="4" w:space="0" w:color="auto"/>
              <w:bottom w:val="single" w:sz="4" w:space="0" w:color="auto"/>
              <w:right w:val="single" w:sz="4" w:space="0" w:color="auto"/>
            </w:tcBorders>
            <w:hideMark/>
          </w:tcPr>
          <w:p w14:paraId="7BCAC3F3"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elementy systemu bezpieczeństwa muszą mieć możliwość zarządzania lokalnego z wykorzystaniem protokołów: HTTPS oraz SSH, jak i mogą współpracować z dedykowanymi platformami centralnego zarządzania i monitorowania,</w:t>
            </w:r>
          </w:p>
          <w:p w14:paraId="2CCC2BC0"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komunikacja elementów systemu zabezpieczeń z platformami centralnego zarządzania ma być realizowana z wykorzystaniem szyfrowanych protokołów,</w:t>
            </w:r>
          </w:p>
          <w:p w14:paraId="2FB742F0"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ma istnieć możliwość włączenia mechanizmów uwierzytelniania dwu-składnikowego dla dostępu administracyjnego,</w:t>
            </w:r>
          </w:p>
          <w:p w14:paraId="248FB107"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system ma współpracować z rozwiązaniami monitorowania poprzez protokoły SNMP w wersjach 2c, 3 oraz umożliwia przekazywanie statystyk ruchu za pomocą protokołów Netflow lub sFlow,</w:t>
            </w:r>
          </w:p>
          <w:p w14:paraId="37872A17"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system ma dawać możliwość zarządzania przez systemy firm trzecich poprzez API, do którego producent udostępnia dokumentację,</w:t>
            </w:r>
          </w:p>
          <w:p w14:paraId="5766984F"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element systemu pełniący funkcję Firewall ma posiadać wbudowane narzędzia diagnostyczne, przynajmniej: ping, traceroute, podglądu pakietów, monitorowanie procesowania sesji oraz stanu sesji firewall,</w:t>
            </w:r>
          </w:p>
          <w:p w14:paraId="15EDF461" w14:textId="1CA10226" w:rsidR="00332BA4" w:rsidRPr="00491DA8" w:rsidRDefault="00332BA4">
            <w:pPr>
              <w:numPr>
                <w:ilvl w:val="0"/>
                <w:numId w:val="17"/>
              </w:numPr>
              <w:spacing w:line="276" w:lineRule="auto"/>
              <w:rPr>
                <w:rFonts w:ascii="Calibri" w:hAnsi="Calibri" w:cs="Calibri"/>
                <w:sz w:val="22"/>
                <w:szCs w:val="22"/>
              </w:rPr>
            </w:pPr>
          </w:p>
          <w:p w14:paraId="64C4F35F"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możliwość przypisywania administratorom praw do zarządzania określonymi częściami systemu (RBM),</w:t>
            </w:r>
          </w:p>
          <w:p w14:paraId="72B95DF3"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możliwość zarządzania systemem tylko z określonych adresów źródłowych IP.</w:t>
            </w:r>
          </w:p>
        </w:tc>
      </w:tr>
      <w:tr w:rsidR="00332BA4" w:rsidRPr="00491DA8" w14:paraId="0C0E7645" w14:textId="77777777" w:rsidTr="00491DA8">
        <w:tc>
          <w:tcPr>
            <w:tcW w:w="1844" w:type="dxa"/>
            <w:tcBorders>
              <w:top w:val="single" w:sz="4" w:space="0" w:color="auto"/>
              <w:left w:val="single" w:sz="4" w:space="0" w:color="auto"/>
              <w:bottom w:val="single" w:sz="4" w:space="0" w:color="auto"/>
              <w:right w:val="single" w:sz="4" w:space="0" w:color="auto"/>
            </w:tcBorders>
            <w:vAlign w:val="center"/>
          </w:tcPr>
          <w:p w14:paraId="1DA399D1" w14:textId="77777777" w:rsidR="00332BA4" w:rsidRPr="00491DA8" w:rsidRDefault="00332BA4" w:rsidP="00491DA8">
            <w:pPr>
              <w:spacing w:line="276" w:lineRule="auto"/>
              <w:rPr>
                <w:rFonts w:ascii="Calibri" w:hAnsi="Calibri" w:cs="Calibri"/>
                <w:b/>
                <w:bCs/>
                <w:sz w:val="22"/>
                <w:szCs w:val="22"/>
                <w:lang w:val="pl-PL"/>
              </w:rPr>
            </w:pPr>
          </w:p>
          <w:p w14:paraId="28509FB9"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Logowanie</w:t>
            </w:r>
          </w:p>
        </w:tc>
        <w:tc>
          <w:tcPr>
            <w:tcW w:w="7938" w:type="dxa"/>
            <w:tcBorders>
              <w:top w:val="single" w:sz="4" w:space="0" w:color="auto"/>
              <w:left w:val="single" w:sz="4" w:space="0" w:color="auto"/>
              <w:bottom w:val="single" w:sz="4" w:space="0" w:color="auto"/>
              <w:right w:val="single" w:sz="4" w:space="0" w:color="auto"/>
            </w:tcBorders>
            <w:hideMark/>
          </w:tcPr>
          <w:p w14:paraId="380C49E9"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elementy systemu bezpieczeństwa mają realizować logowanie do aplikacji (logowania i raportowania) udostępnianej w chmurze, lub konieczne ma być zastosowanie komercyjnego systemu logowania i raportowania w postaci odpowiednio zabezpieczonej, komercyjnej platformy sprzętowej lub programowej,</w:t>
            </w:r>
          </w:p>
          <w:p w14:paraId="4A7C30FB"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 xml:space="preserve">w ramach logowania element systemu pełniący funkcję Firewall ma zapewniać przekazywanie danych o: zaakceptowanym ruchu, blokowanym ruchu, aktywności </w:t>
            </w:r>
            <w:r>
              <w:rPr>
                <w:rFonts w:ascii="Calibri" w:hAnsi="Calibri" w:cs="Calibri"/>
                <w:sz w:val="22"/>
                <w:szCs w:val="22"/>
              </w:rPr>
              <w:lastRenderedPageBreak/>
              <w:t>administratorów, zużyciu zasobów oraz stanie pracy systemu. Ponadto zapewnia możliwość jednoczesnego wysyłania logów do wielu serwerów logowania,</w:t>
            </w:r>
          </w:p>
          <w:p w14:paraId="196FF603"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logowanie obejmuje zdarzenia dotyczące wszystkich modułów sieciowych i bezpieczeństwa,</w:t>
            </w:r>
          </w:p>
          <w:p w14:paraId="773D88FC"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możliwość włączenia logowania per reguła w polityce firewall,</w:t>
            </w:r>
          </w:p>
          <w:p w14:paraId="0EBD18B9"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system ma zapewniać możliwość logowania do serwera SYSLOG,</w:t>
            </w:r>
          </w:p>
          <w:p w14:paraId="076A1759" w14:textId="77777777" w:rsidR="00332BA4" w:rsidRPr="00491DA8" w:rsidRDefault="00332BA4">
            <w:pPr>
              <w:numPr>
                <w:ilvl w:val="0"/>
                <w:numId w:val="17"/>
              </w:numPr>
              <w:spacing w:line="276" w:lineRule="auto"/>
              <w:rPr>
                <w:rFonts w:ascii="Calibri" w:hAnsi="Calibri" w:cs="Calibri"/>
                <w:sz w:val="22"/>
                <w:szCs w:val="22"/>
              </w:rPr>
            </w:pPr>
            <w:r>
              <w:rPr>
                <w:rFonts w:ascii="Calibri" w:hAnsi="Calibri" w:cs="Calibri"/>
                <w:sz w:val="22"/>
                <w:szCs w:val="22"/>
              </w:rPr>
              <w:t>przesyłanie SYSLOG do zewnętrznych systemów jest możliwe z wykorzystaniem protokołu TCP oraz szyfrowania SSL/TLS.</w:t>
            </w:r>
          </w:p>
        </w:tc>
      </w:tr>
      <w:tr w:rsidR="00332BA4" w:rsidRPr="00491DA8" w14:paraId="1C48EAE4"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21DBECBE"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lastRenderedPageBreak/>
              <w:t>Testy wydajnościowe oraz funkcjonalne</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D15E6EE"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Wszystkie funkcje i parametry wydajnościowe systemu mogą być zweryfikowane w oparciu o oficjalną (publicznie dostępną) dokumentację producenta oraz wykonane testy.</w:t>
            </w:r>
          </w:p>
        </w:tc>
      </w:tr>
      <w:tr w:rsidR="00332BA4" w:rsidRPr="00491DA8" w14:paraId="27FEB679"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3467E9AC"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Serwisy i licencje</w:t>
            </w:r>
          </w:p>
        </w:tc>
        <w:tc>
          <w:tcPr>
            <w:tcW w:w="7938" w:type="dxa"/>
            <w:tcBorders>
              <w:top w:val="single" w:sz="4" w:space="0" w:color="auto"/>
              <w:left w:val="single" w:sz="4" w:space="0" w:color="auto"/>
              <w:bottom w:val="single" w:sz="4" w:space="0" w:color="auto"/>
              <w:right w:val="single" w:sz="4" w:space="0" w:color="auto"/>
            </w:tcBorders>
            <w:hideMark/>
          </w:tcPr>
          <w:p w14:paraId="117C31D8"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 xml:space="preserve">Do korzystania z aktualnych baz funkcji ochronnych producenta i serwisów wymagane są licencje: </w:t>
            </w:r>
          </w:p>
          <w:p w14:paraId="199DC1E9" w14:textId="77777777" w:rsidR="00936AF0" w:rsidRPr="00491DA8" w:rsidRDefault="00332BA4">
            <w:pPr>
              <w:numPr>
                <w:ilvl w:val="0"/>
                <w:numId w:val="18"/>
              </w:numPr>
              <w:spacing w:line="276" w:lineRule="auto"/>
              <w:rPr>
                <w:rFonts w:ascii="Calibri" w:hAnsi="Calibri" w:cs="Calibri"/>
                <w:sz w:val="22"/>
                <w:szCs w:val="22"/>
              </w:rPr>
            </w:pPr>
            <w:r>
              <w:rPr>
                <w:rFonts w:ascii="Calibri" w:hAnsi="Calibri" w:cs="Calibri"/>
                <w:sz w:val="22"/>
                <w:szCs w:val="22"/>
              </w:rPr>
              <w:t xml:space="preserve">Kontrola Aplikacji, IPS, Antywirus (z uwzględnieniem sygnatur do ochrony urządzeń mobilnych </w:t>
            </w:r>
          </w:p>
          <w:p w14:paraId="6490F472" w14:textId="40C9D283" w:rsidR="00332BA4" w:rsidRPr="00491DA8" w:rsidRDefault="00332BA4">
            <w:pPr>
              <w:numPr>
                <w:ilvl w:val="0"/>
                <w:numId w:val="18"/>
              </w:numPr>
              <w:spacing w:line="276" w:lineRule="auto"/>
              <w:rPr>
                <w:rFonts w:ascii="Calibri" w:hAnsi="Calibri" w:cs="Calibri"/>
                <w:sz w:val="22"/>
                <w:szCs w:val="22"/>
              </w:rPr>
            </w:pPr>
            <w:r>
              <w:rPr>
                <w:rFonts w:ascii="Calibri" w:hAnsi="Calibri" w:cs="Calibri"/>
                <w:sz w:val="22"/>
                <w:szCs w:val="22"/>
              </w:rPr>
              <w:t>co najmniej dla systemu operacyjnego Android), Antyspam, Web Filtering, bazy reputacyjne adresów IP/domen na okres 24 miesięcy.</w:t>
            </w:r>
          </w:p>
        </w:tc>
      </w:tr>
      <w:tr w:rsidR="00332BA4" w:rsidRPr="00491DA8" w14:paraId="79DF233E"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71AAF980" w14:textId="77777777" w:rsidR="00332BA4" w:rsidRPr="00491DA8" w:rsidRDefault="00332BA4" w:rsidP="00491DA8">
            <w:pPr>
              <w:spacing w:line="276" w:lineRule="auto"/>
              <w:rPr>
                <w:rFonts w:ascii="Calibri" w:hAnsi="Calibri" w:cs="Calibri"/>
                <w:b/>
                <w:bCs/>
                <w:sz w:val="22"/>
                <w:szCs w:val="22"/>
                <w:lang w:val="pl-PL"/>
              </w:rPr>
            </w:pPr>
            <w:r>
              <w:rPr>
                <w:rFonts w:ascii="Calibri" w:hAnsi="Calibri" w:cs="Calibri"/>
                <w:b/>
                <w:bCs/>
                <w:sz w:val="22"/>
                <w:szCs w:val="22"/>
                <w:lang w:val="pl-PL"/>
              </w:rPr>
              <w:t>Gwarancja oraz wsparcie</w:t>
            </w:r>
          </w:p>
        </w:tc>
        <w:tc>
          <w:tcPr>
            <w:tcW w:w="7938" w:type="dxa"/>
            <w:tcBorders>
              <w:top w:val="single" w:sz="4" w:space="0" w:color="auto"/>
              <w:left w:val="single" w:sz="4" w:space="0" w:color="auto"/>
              <w:bottom w:val="single" w:sz="4" w:space="0" w:color="auto"/>
              <w:right w:val="single" w:sz="4" w:space="0" w:color="auto"/>
            </w:tcBorders>
            <w:hideMark/>
          </w:tcPr>
          <w:p w14:paraId="47329085" w14:textId="77777777" w:rsidR="00332BA4" w:rsidRPr="00491DA8" w:rsidRDefault="00332BA4" w:rsidP="00491DA8">
            <w:pPr>
              <w:spacing w:line="276" w:lineRule="auto"/>
              <w:rPr>
                <w:rFonts w:ascii="Calibri" w:hAnsi="Calibri" w:cs="Calibri"/>
                <w:sz w:val="22"/>
                <w:szCs w:val="22"/>
                <w:lang w:val="pl-PL"/>
              </w:rPr>
            </w:pPr>
            <w:r>
              <w:rPr>
                <w:rFonts w:ascii="Calibri" w:hAnsi="Calibri" w:cs="Calibri"/>
                <w:sz w:val="22"/>
                <w:szCs w:val="22"/>
                <w:lang w:val="pl-PL"/>
              </w:rPr>
              <w:t xml:space="preserve">System jest objęty serwisem gwarancyjnym producenta przez okres 24 miesięcy, polegającym na naprawie lub wymianie urządzenia w przypadku jego wadliwości w trybie AHR (advanced hardware replacement). W ramach tego serwisu producent zapewnia dostęp do aktualizacji oprogramowania oraz wsparcie techniczne w trybie 24x7. </w:t>
            </w:r>
          </w:p>
        </w:tc>
      </w:tr>
      <w:tr w:rsidR="00332BA4" w:rsidRPr="00491DA8" w14:paraId="6561075C"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09A87161" w14:textId="0D328073" w:rsidR="00332BA4" w:rsidRPr="00491DA8" w:rsidRDefault="00000000" w:rsidP="00491DA8">
            <w:pPr>
              <w:spacing w:line="276" w:lineRule="auto"/>
              <w:rPr>
                <w:rFonts w:ascii="Calibri" w:hAnsi="Calibri" w:cs="Calibri"/>
                <w:b/>
                <w:bCs/>
                <w:sz w:val="22"/>
                <w:szCs w:val="22"/>
                <w:lang w:val="pl-PL"/>
              </w:rPr>
            </w:pPr>
            <w:sdt>
              <w:sdtPr>
                <w:rPr>
                  <w:rFonts w:ascii="Calibri" w:hAnsi="Calibri" w:cs="Calibri"/>
                  <w:b/>
                  <w:bCs/>
                  <w:sz w:val="22"/>
                  <w:szCs w:val="22"/>
                  <w:lang w:val="pl-PL"/>
                </w:rPr>
                <w:tag w:val="goog_rdk_40"/>
                <w:id w:val="1845819831"/>
              </w:sdtPr>
              <w:sdtContent/>
            </w:sdt>
            <w:r>
              <w:rPr>
                <w:rFonts w:ascii="Calibri" w:hAnsi="Calibri" w:cs="Calibri"/>
                <w:b/>
                <w:bCs/>
                <w:sz w:val="22"/>
                <w:szCs w:val="22"/>
                <w:lang w:val="pl-PL"/>
              </w:rPr>
              <w:t>Inne wymagania</w:t>
            </w:r>
          </w:p>
        </w:tc>
        <w:tc>
          <w:tcPr>
            <w:tcW w:w="7938" w:type="dxa"/>
            <w:tcBorders>
              <w:top w:val="single" w:sz="4" w:space="0" w:color="auto"/>
              <w:left w:val="single" w:sz="4" w:space="0" w:color="auto"/>
              <w:bottom w:val="single" w:sz="4" w:space="0" w:color="auto"/>
              <w:right w:val="single" w:sz="4" w:space="0" w:color="auto"/>
            </w:tcBorders>
            <w:hideMark/>
          </w:tcPr>
          <w:p w14:paraId="57011984" w14:textId="0BEF1091" w:rsidR="00332BA4" w:rsidRPr="00491DA8" w:rsidRDefault="00332BA4">
            <w:pPr>
              <w:numPr>
                <w:ilvl w:val="0"/>
                <w:numId w:val="3"/>
              </w:numPr>
              <w:pBdr>
                <w:top w:val="nil"/>
                <w:left w:val="nil"/>
                <w:bottom w:val="nil"/>
                <w:right w:val="nil"/>
                <w:between w:val="nil"/>
              </w:pBdr>
              <w:spacing w:line="276" w:lineRule="auto"/>
              <w:jc w:val="both"/>
              <w:rPr>
                <w:rFonts w:ascii="Calibri" w:hAnsi="Calibri" w:cs="Calibri"/>
                <w:sz w:val="22"/>
                <w:szCs w:val="22"/>
                <w:lang w:val="pl-PL"/>
              </w:rPr>
            </w:pPr>
            <w:r>
              <w:rPr>
                <w:rFonts w:ascii="Calibri" w:hAnsi="Calibri" w:cs="Calibri"/>
                <w:sz w:val="22"/>
                <w:szCs w:val="22"/>
                <w:lang w:val="pl-PL"/>
              </w:rPr>
              <w:t>Wymaga się, aby w przypadku istnienia takiego wymogu w stosunku do technologii objętej przedmiotem niniejszego postępowania (tzw. produkty podwójnego zastosowania), został uzyskany dokument pochodzący od importera tej technologii, potwierdzający, iż przy jej wprowadzeniu na terytorium Rzeczypospolitej Polskiej zostały spełnione wymogi właściwych przepisów prawa, w tym ustawy z dnia 29 listopada 2000 r. o obrocie z zagranicą towarami, technologiami i usługami o znaczeniu strategicznym dla bezpieczeństwa państwa oraz dla utrzymania międzynarodowego pokoju i bezpieczeństwa (Dz.U. z 2004 r. Nr 229, poz. 2315 z późn. zm.).</w:t>
            </w:r>
          </w:p>
          <w:p w14:paraId="603CAE8C" w14:textId="183512EB" w:rsidR="00332BA4" w:rsidRPr="00491DA8" w:rsidRDefault="00332BA4">
            <w:pPr>
              <w:numPr>
                <w:ilvl w:val="0"/>
                <w:numId w:val="3"/>
              </w:numPr>
              <w:pBdr>
                <w:top w:val="nil"/>
                <w:left w:val="nil"/>
                <w:bottom w:val="nil"/>
                <w:right w:val="nil"/>
                <w:between w:val="nil"/>
              </w:pBdr>
              <w:spacing w:line="276" w:lineRule="auto"/>
              <w:jc w:val="both"/>
              <w:rPr>
                <w:rFonts w:ascii="Calibri" w:hAnsi="Calibri" w:cs="Calibri"/>
                <w:sz w:val="22"/>
                <w:szCs w:val="22"/>
                <w:lang w:val="pl-PL"/>
              </w:rPr>
            </w:pPr>
            <w:r>
              <w:rPr>
                <w:rFonts w:ascii="Calibri" w:hAnsi="Calibri" w:cs="Calibri"/>
                <w:sz w:val="22"/>
                <w:szCs w:val="22"/>
                <w:lang w:val="pl-PL"/>
              </w:rPr>
              <w:t>Wymaga się przedłożenia dokumentu potwierdzającego, że importer posiada certyfikowany przez właściwą jednostkę system zarządzania jakością – tzw. wewnętrzny system kontroli, wymagany dla wspólnotowego systemu kontroli wywozu, transferu, pośrednictwa i tranzytu w odniesieniu do produktów podwójnego zastosowania.</w:t>
            </w:r>
          </w:p>
          <w:p w14:paraId="4032512D" w14:textId="649F0E1C" w:rsidR="00332BA4" w:rsidRPr="00491DA8" w:rsidRDefault="00332BA4">
            <w:pPr>
              <w:numPr>
                <w:ilvl w:val="0"/>
                <w:numId w:val="3"/>
              </w:numPr>
              <w:pBdr>
                <w:top w:val="nil"/>
                <w:left w:val="nil"/>
                <w:bottom w:val="nil"/>
                <w:right w:val="nil"/>
                <w:between w:val="nil"/>
              </w:pBdr>
              <w:spacing w:line="276" w:lineRule="auto"/>
              <w:jc w:val="both"/>
              <w:rPr>
                <w:rFonts w:ascii="Calibri" w:hAnsi="Calibri" w:cs="Calibri"/>
                <w:sz w:val="22"/>
                <w:szCs w:val="22"/>
                <w:lang w:val="pl-PL"/>
              </w:rPr>
            </w:pPr>
            <w:r>
              <w:rPr>
                <w:rFonts w:ascii="Calibri" w:hAnsi="Calibri" w:cs="Calibri"/>
                <w:sz w:val="22"/>
                <w:szCs w:val="22"/>
                <w:lang w:val="pl-PL"/>
              </w:rPr>
              <w:t>Wymaga się przedłożenia dokumentu – oświadczenia producenta lub autoryzowanego dystrybutora producenta na terytorium Rzeczypospolitej Polskiej – potwierdzającego, że oferowany produkt pochodzi z autoryzowanego kanału sprzedaży, w szczególności poprzez oświadczenie o posiadanym statusie autoryzacyjnym.</w:t>
            </w:r>
          </w:p>
        </w:tc>
      </w:tr>
      <w:tr w:rsidR="00332BA4" w:rsidRPr="00491DA8" w14:paraId="48F7DECE" w14:textId="77777777" w:rsidTr="00491DA8">
        <w:tc>
          <w:tcPr>
            <w:tcW w:w="1844" w:type="dxa"/>
            <w:tcBorders>
              <w:top w:val="single" w:sz="4" w:space="0" w:color="auto"/>
              <w:left w:val="single" w:sz="4" w:space="0" w:color="auto"/>
              <w:bottom w:val="single" w:sz="4" w:space="0" w:color="auto"/>
              <w:right w:val="single" w:sz="4" w:space="0" w:color="auto"/>
            </w:tcBorders>
            <w:vAlign w:val="center"/>
            <w:hideMark/>
          </w:tcPr>
          <w:p w14:paraId="5664305C" w14:textId="77777777" w:rsidR="00332BA4" w:rsidRPr="00491DA8" w:rsidRDefault="00000000" w:rsidP="00491DA8">
            <w:pPr>
              <w:spacing w:line="276" w:lineRule="auto"/>
              <w:rPr>
                <w:rFonts w:ascii="Calibri" w:hAnsi="Calibri" w:cs="Calibri"/>
                <w:b/>
                <w:bCs/>
                <w:sz w:val="22"/>
                <w:szCs w:val="22"/>
                <w:lang w:val="pl-PL"/>
              </w:rPr>
            </w:pPr>
            <w:sdt>
              <w:sdtPr>
                <w:rPr>
                  <w:rFonts w:ascii="Calibri" w:hAnsi="Calibri" w:cs="Calibri"/>
                  <w:b/>
                  <w:bCs/>
                  <w:sz w:val="22"/>
                  <w:szCs w:val="22"/>
                  <w:lang w:val="pl-PL"/>
                </w:rPr>
                <w:tag w:val="goog_rdk_41"/>
                <w:id w:val="1350524796"/>
              </w:sdtPr>
              <w:sdtContent/>
            </w:sdt>
            <w:r>
              <w:rPr>
                <w:rFonts w:ascii="Calibri" w:hAnsi="Calibri" w:cs="Calibri"/>
                <w:b/>
                <w:bCs/>
                <w:sz w:val="22"/>
                <w:szCs w:val="22"/>
                <w:lang w:val="pl-PL"/>
              </w:rPr>
              <w:t>Instalacja i wdrożenie</w:t>
            </w:r>
          </w:p>
        </w:tc>
        <w:tc>
          <w:tcPr>
            <w:tcW w:w="7938" w:type="dxa"/>
            <w:tcBorders>
              <w:top w:val="single" w:sz="4" w:space="0" w:color="auto"/>
              <w:left w:val="single" w:sz="4" w:space="0" w:color="auto"/>
              <w:bottom w:val="single" w:sz="4" w:space="0" w:color="auto"/>
              <w:right w:val="single" w:sz="4" w:space="0" w:color="auto"/>
            </w:tcBorders>
            <w:hideMark/>
          </w:tcPr>
          <w:p w14:paraId="5CA00E64" w14:textId="77777777"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Wykonawca dostarczy urządzenia do siedziby Zamawiającego oraz przeprowadzi fizyczny urządzeń w szafie rack, zgodnie z dokumentacją producenta i standardami inżynierskimi.</w:t>
            </w:r>
          </w:p>
          <w:p w14:paraId="623296BB" w14:textId="2DC20FE5"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 xml:space="preserve">Implementacja polityk kontroli dostępu (Firewall) w oparciu o adresy IP, użytkowników, protokoły, usługi sieciowe, aplikacje, kategorie URL, kraje. </w:t>
            </w:r>
          </w:p>
          <w:p w14:paraId="090D31F0" w14:textId="77777777" w:rsidR="00B85642" w:rsidRDefault="00B85642">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Przeprowadzenie testów poprawności działania urządzenia, polityk bezpieczeństwa, routingu, połączeń VPN oraz usług ochronnych.</w:t>
            </w:r>
          </w:p>
          <w:p w14:paraId="2B168C2F" w14:textId="17789C34"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Wykonawca zobowiązany jest do dokumentowania wykonanych prac.</w:t>
            </w:r>
          </w:p>
          <w:p w14:paraId="1B0CB527" w14:textId="77777777"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Prace instalacyjne i wdrożeniowe muszą być zrealizowane w siedzibie Zamawiającego. Nie dopuszcza się pracy zdalnej.</w:t>
            </w:r>
          </w:p>
          <w:p w14:paraId="518E56FC" w14:textId="77777777"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Instruktaż stanowiskowy administratora IT Zamawiającego z wdrożonego rozwiązania i konfiguracji (minimum 8 godzin) w siedzibie Zamawiającego.</w:t>
            </w:r>
          </w:p>
          <w:p w14:paraId="5CABD5C4" w14:textId="77777777"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 xml:space="preserve">Oferent w zakresie przedmiotu zamówienia musi uwzględnić czas pracy inżyniera, na potrzeby uruchomienia urządzenia w siedzibie zamawiającego. </w:t>
            </w:r>
          </w:p>
          <w:p w14:paraId="4734A056" w14:textId="77777777" w:rsidR="00332BA4" w:rsidRPr="00491DA8" w:rsidRDefault="00332BA4">
            <w:pPr>
              <w:numPr>
                <w:ilvl w:val="0"/>
                <w:numId w:val="4"/>
              </w:numPr>
              <w:pBdr>
                <w:top w:val="nil"/>
                <w:left w:val="nil"/>
                <w:bottom w:val="nil"/>
                <w:right w:val="nil"/>
                <w:between w:val="nil"/>
              </w:pBdr>
              <w:spacing w:line="276" w:lineRule="auto"/>
              <w:jc w:val="both"/>
              <w:rPr>
                <w:rFonts w:ascii="Calibri" w:hAnsi="Calibri" w:cs="Calibri"/>
                <w:sz w:val="22"/>
                <w:szCs w:val="22"/>
              </w:rPr>
            </w:pPr>
            <w:r>
              <w:rPr>
                <w:rFonts w:ascii="Calibri" w:hAnsi="Calibri" w:cs="Calibri"/>
                <w:sz w:val="22"/>
                <w:szCs w:val="22"/>
              </w:rPr>
              <w:t xml:space="preserve">Z uwagi na typ pracy urzędu, wykonywane prace nie mogą powodować problemów w dostępności do systemu komputerowego Zamawiającego. </w:t>
            </w:r>
          </w:p>
        </w:tc>
      </w:tr>
    </w:tbl>
    <w:p w14:paraId="0B15F006" w14:textId="77777777" w:rsidR="00332BA4" w:rsidRPr="00332BA4" w:rsidRDefault="00332BA4" w:rsidP="00332BA4"/>
    <w:p w14:paraId="0000053F" w14:textId="77777777" w:rsidR="0044605B" w:rsidRPr="00023F6E" w:rsidRDefault="0044605B">
      <w:pPr>
        <w:rPr>
          <w:rFonts w:ascii="Calibri" w:hAnsi="Calibri" w:cs="Calibri"/>
        </w:rPr>
      </w:pPr>
    </w:p>
    <w:p w14:paraId="000006A3" w14:textId="6ED7DA80" w:rsidR="0044605B" w:rsidRDefault="00491DA8" w:rsidP="008E0FD8">
      <w:pPr>
        <w:pStyle w:val="Nagwek2"/>
        <w:numPr>
          <w:ilvl w:val="0"/>
          <w:numId w:val="1"/>
        </w:numPr>
        <w:rPr>
          <w:rFonts w:cs="Calibri"/>
        </w:rPr>
      </w:pPr>
      <w:bookmarkStart w:id="13" w:name="_Toc229478316"/>
      <w:r>
        <w:rPr>
          <w:rFonts w:cs="Calibri"/>
        </w:rPr>
        <w:t>Urządzenie typu UPS – 1 szt.</w:t>
      </w:r>
      <w:bookmarkEnd w:id="13"/>
      <w:r>
        <w:rPr>
          <w:rFonts w:cs="Calibri"/>
        </w:rPr>
        <w:t xml:space="preserve"> </w:t>
      </w:r>
    </w:p>
    <w:p w14:paraId="12C1EC57" w14:textId="77777777" w:rsidR="008E0FD8" w:rsidRDefault="008E0FD8" w:rsidP="008E0FD8">
      <w:pPr>
        <w:pStyle w:val="Akapitzlist"/>
        <w:ind w:left="360"/>
        <w:rPr>
          <w:rFonts w:ascii="Calibri" w:hAnsi="Calibri" w:cs="Calibri"/>
        </w:rPr>
      </w:pPr>
    </w:p>
    <w:tbl>
      <w:tblPr>
        <w:tblStyle w:val="Tabela-Siatka"/>
        <w:tblW w:w="9640" w:type="dxa"/>
        <w:tblInd w:w="-113" w:type="dxa"/>
        <w:tblLook w:val="04A0" w:firstRow="1" w:lastRow="0" w:firstColumn="1" w:lastColumn="0" w:noHBand="0" w:noVBand="1"/>
      </w:tblPr>
      <w:tblGrid>
        <w:gridCol w:w="2330"/>
        <w:gridCol w:w="7310"/>
      </w:tblGrid>
      <w:tr w:rsidR="008E0FD8" w:rsidRPr="008E0FD8" w14:paraId="238DFB65"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43A6C694"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Komponent</w:t>
            </w:r>
          </w:p>
        </w:tc>
        <w:tc>
          <w:tcPr>
            <w:tcW w:w="7310" w:type="dxa"/>
            <w:tcBorders>
              <w:top w:val="single" w:sz="4" w:space="0" w:color="auto"/>
              <w:left w:val="single" w:sz="4" w:space="0" w:color="auto"/>
              <w:bottom w:val="single" w:sz="4" w:space="0" w:color="auto"/>
              <w:right w:val="single" w:sz="4" w:space="0" w:color="auto"/>
            </w:tcBorders>
            <w:vAlign w:val="center"/>
            <w:hideMark/>
          </w:tcPr>
          <w:p w14:paraId="701CFFCB"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Wymagania minimalne parametry techniczne</w:t>
            </w:r>
          </w:p>
        </w:tc>
      </w:tr>
      <w:tr w:rsidR="008E0FD8" w:rsidRPr="008E0FD8" w14:paraId="39A96D35" w14:textId="77777777" w:rsidTr="008E0FD8">
        <w:trPr>
          <w:trHeight w:val="346"/>
        </w:trPr>
        <w:tc>
          <w:tcPr>
            <w:tcW w:w="2330" w:type="dxa"/>
            <w:tcBorders>
              <w:top w:val="single" w:sz="4" w:space="0" w:color="auto"/>
              <w:left w:val="single" w:sz="4" w:space="0" w:color="auto"/>
              <w:bottom w:val="single" w:sz="4" w:space="0" w:color="auto"/>
              <w:right w:val="single" w:sz="4" w:space="0" w:color="auto"/>
            </w:tcBorders>
            <w:vAlign w:val="center"/>
            <w:hideMark/>
          </w:tcPr>
          <w:p w14:paraId="18F213DB"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Moc pozorna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9F07AF3"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3000VA</w:t>
            </w:r>
          </w:p>
        </w:tc>
      </w:tr>
      <w:tr w:rsidR="008E0FD8" w:rsidRPr="008E0FD8" w14:paraId="0DBB8B7B" w14:textId="77777777" w:rsidTr="008E0FD8">
        <w:trPr>
          <w:trHeight w:val="408"/>
        </w:trPr>
        <w:tc>
          <w:tcPr>
            <w:tcW w:w="2330" w:type="dxa"/>
            <w:tcBorders>
              <w:top w:val="single" w:sz="4" w:space="0" w:color="auto"/>
              <w:left w:val="single" w:sz="4" w:space="0" w:color="auto"/>
              <w:bottom w:val="single" w:sz="4" w:space="0" w:color="auto"/>
              <w:right w:val="single" w:sz="4" w:space="0" w:color="auto"/>
            </w:tcBorders>
            <w:vAlign w:val="center"/>
            <w:hideMark/>
          </w:tcPr>
          <w:p w14:paraId="33CF552F"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Moc rzeczywista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3403B821"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3000W</w:t>
            </w:r>
          </w:p>
        </w:tc>
      </w:tr>
      <w:tr w:rsidR="008E0FD8" w:rsidRPr="008E0FD8" w14:paraId="7AAF3CD7"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6EE297B7"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Technologia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05E343DE"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on-line (VFI), podwójna konwersja</w:t>
            </w:r>
          </w:p>
        </w:tc>
      </w:tr>
      <w:tr w:rsidR="008E0FD8" w:rsidRPr="008E0FD8" w14:paraId="4414157E"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2FBDEFDB"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Sprawność przy pracy sieciowej i w pełni naładowanych bateriach</w:t>
            </w:r>
          </w:p>
        </w:tc>
        <w:tc>
          <w:tcPr>
            <w:tcW w:w="7310" w:type="dxa"/>
            <w:tcBorders>
              <w:top w:val="single" w:sz="4" w:space="0" w:color="auto"/>
              <w:left w:val="single" w:sz="4" w:space="0" w:color="auto"/>
              <w:bottom w:val="single" w:sz="4" w:space="0" w:color="auto"/>
              <w:right w:val="single" w:sz="4" w:space="0" w:color="auto"/>
            </w:tcBorders>
            <w:vAlign w:val="center"/>
            <w:hideMark/>
          </w:tcPr>
          <w:p w14:paraId="24A75FD4" w14:textId="67DC26FF"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 91 %</w:t>
            </w:r>
          </w:p>
        </w:tc>
      </w:tr>
      <w:tr w:rsidR="008E0FD8" w:rsidRPr="008E0FD8" w14:paraId="70564B6B"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1895592"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Sprawność w trybie ECO i w pełni naładowanych bateriach</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CA490DE" w14:textId="03D0F183"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 96 %</w:t>
            </w:r>
          </w:p>
        </w:tc>
      </w:tr>
      <w:tr w:rsidR="008E0FD8" w:rsidRPr="008E0FD8" w14:paraId="73B92CE3"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9983F9B"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Typ obudowy</w:t>
            </w:r>
          </w:p>
        </w:tc>
        <w:tc>
          <w:tcPr>
            <w:tcW w:w="7310" w:type="dxa"/>
            <w:tcBorders>
              <w:top w:val="single" w:sz="4" w:space="0" w:color="auto"/>
              <w:left w:val="single" w:sz="4" w:space="0" w:color="auto"/>
              <w:bottom w:val="single" w:sz="4" w:space="0" w:color="auto"/>
              <w:right w:val="single" w:sz="4" w:space="0" w:color="auto"/>
            </w:tcBorders>
            <w:vAlign w:val="center"/>
            <w:hideMark/>
          </w:tcPr>
          <w:p w14:paraId="20CD0157"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rack</w:t>
            </w:r>
          </w:p>
        </w:tc>
      </w:tr>
      <w:tr w:rsidR="008E0FD8" w:rsidRPr="008E0FD8" w14:paraId="6C4FA8C6"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21FBE8D8"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Napięcie wejściowe</w:t>
            </w:r>
          </w:p>
        </w:tc>
        <w:tc>
          <w:tcPr>
            <w:tcW w:w="7310" w:type="dxa"/>
            <w:tcBorders>
              <w:top w:val="single" w:sz="4" w:space="0" w:color="auto"/>
              <w:left w:val="single" w:sz="4" w:space="0" w:color="auto"/>
              <w:bottom w:val="single" w:sz="4" w:space="0" w:color="auto"/>
              <w:right w:val="single" w:sz="4" w:space="0" w:color="auto"/>
            </w:tcBorders>
            <w:vAlign w:val="center"/>
            <w:hideMark/>
          </w:tcPr>
          <w:p w14:paraId="58205AFE"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110 ÷ 300 V AC ± 5%</w:t>
            </w:r>
          </w:p>
        </w:tc>
      </w:tr>
      <w:tr w:rsidR="008E0FD8" w:rsidRPr="008E0FD8" w14:paraId="5AFCC24E"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470AA05A"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Częstotliwość napięcia wejściowego</w:t>
            </w:r>
          </w:p>
        </w:tc>
        <w:tc>
          <w:tcPr>
            <w:tcW w:w="7310" w:type="dxa"/>
            <w:tcBorders>
              <w:top w:val="single" w:sz="4" w:space="0" w:color="auto"/>
              <w:left w:val="single" w:sz="4" w:space="0" w:color="auto"/>
              <w:bottom w:val="single" w:sz="4" w:space="0" w:color="auto"/>
              <w:right w:val="single" w:sz="4" w:space="0" w:color="auto"/>
            </w:tcBorders>
            <w:vAlign w:val="center"/>
            <w:hideMark/>
          </w:tcPr>
          <w:p w14:paraId="7DB6703D"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40-70 Hz</w:t>
            </w:r>
          </w:p>
        </w:tc>
      </w:tr>
      <w:tr w:rsidR="008E0FD8" w:rsidRPr="008E0FD8" w14:paraId="49625C55"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2DB704C7"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Zakres napięcia wejściowego</w:t>
            </w:r>
          </w:p>
        </w:tc>
        <w:tc>
          <w:tcPr>
            <w:tcW w:w="7310" w:type="dxa"/>
            <w:tcBorders>
              <w:top w:val="single" w:sz="4" w:space="0" w:color="auto"/>
              <w:left w:val="single" w:sz="4" w:space="0" w:color="auto"/>
              <w:bottom w:val="single" w:sz="4" w:space="0" w:color="auto"/>
              <w:right w:val="single" w:sz="4" w:space="0" w:color="auto"/>
            </w:tcBorders>
            <w:vAlign w:val="center"/>
            <w:hideMark/>
          </w:tcPr>
          <w:p w14:paraId="613F02FC"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200 / 208 / 220 / 230 / 240 V AC ± 1 %</w:t>
            </w:r>
          </w:p>
        </w:tc>
      </w:tr>
      <w:tr w:rsidR="008E0FD8" w:rsidRPr="008E0FD8" w14:paraId="1DA3F5EB"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D7CFA1A"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Kształt napięcia wyjściowego</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E938D64"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sinusoidalny</w:t>
            </w:r>
          </w:p>
        </w:tc>
      </w:tr>
      <w:tr w:rsidR="008E0FD8" w:rsidRPr="008E0FD8" w14:paraId="43368B1C"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61E01E0"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lastRenderedPageBreak/>
              <w:t>Czas przełączania sieć – bateria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383ACF7C"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0ms</w:t>
            </w:r>
          </w:p>
        </w:tc>
      </w:tr>
      <w:tr w:rsidR="008E0FD8" w:rsidRPr="008E0FD8" w14:paraId="7C317F64"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E837A74"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Współczynnik odkształceń prądu wejściowego THDi</w:t>
            </w:r>
          </w:p>
        </w:tc>
        <w:tc>
          <w:tcPr>
            <w:tcW w:w="7310" w:type="dxa"/>
            <w:tcBorders>
              <w:top w:val="single" w:sz="4" w:space="0" w:color="auto"/>
              <w:left w:val="single" w:sz="4" w:space="0" w:color="auto"/>
              <w:bottom w:val="single" w:sz="4" w:space="0" w:color="auto"/>
              <w:right w:val="single" w:sz="4" w:space="0" w:color="auto"/>
            </w:tcBorders>
            <w:vAlign w:val="center"/>
            <w:hideMark/>
          </w:tcPr>
          <w:p w14:paraId="34FD8058" w14:textId="01CDDF26"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maks. 5%</w:t>
            </w:r>
          </w:p>
        </w:tc>
      </w:tr>
      <w:tr w:rsidR="008E0FD8" w:rsidRPr="008E0FD8" w14:paraId="75FEF854"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1F10DDA"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Napięcie wyjściowe</w:t>
            </w:r>
          </w:p>
        </w:tc>
        <w:tc>
          <w:tcPr>
            <w:tcW w:w="7310" w:type="dxa"/>
            <w:tcBorders>
              <w:top w:val="single" w:sz="4" w:space="0" w:color="auto"/>
              <w:left w:val="single" w:sz="4" w:space="0" w:color="auto"/>
              <w:bottom w:val="single" w:sz="4" w:space="0" w:color="auto"/>
              <w:right w:val="single" w:sz="4" w:space="0" w:color="auto"/>
            </w:tcBorders>
            <w:vAlign w:val="center"/>
            <w:hideMark/>
          </w:tcPr>
          <w:p w14:paraId="67AD14AC"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200 / 208 / 220 / 230 / 240 V AC ± 1 %</w:t>
            </w:r>
          </w:p>
        </w:tc>
      </w:tr>
      <w:tr w:rsidR="008E0FD8" w:rsidRPr="008E0FD8" w14:paraId="4B8C0F3B"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189934B"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Częstotliwość napięcia wyjściowego</w:t>
            </w:r>
          </w:p>
        </w:tc>
        <w:tc>
          <w:tcPr>
            <w:tcW w:w="7310" w:type="dxa"/>
            <w:tcBorders>
              <w:top w:val="single" w:sz="4" w:space="0" w:color="auto"/>
              <w:left w:val="single" w:sz="4" w:space="0" w:color="auto"/>
              <w:bottom w:val="single" w:sz="4" w:space="0" w:color="auto"/>
              <w:right w:val="single" w:sz="4" w:space="0" w:color="auto"/>
            </w:tcBorders>
            <w:vAlign w:val="center"/>
            <w:hideMark/>
          </w:tcPr>
          <w:p w14:paraId="25E489ED"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50Hz/60Hz ± 0,1Hz</w:t>
            </w:r>
          </w:p>
        </w:tc>
      </w:tr>
      <w:tr w:rsidR="008E0FD8" w:rsidRPr="008E0FD8" w14:paraId="739F04F5"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73124DF"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Kształt napięcia wyjściowego na pracy bateryjnej</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3606212"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sinusoidalny</w:t>
            </w:r>
          </w:p>
        </w:tc>
      </w:tr>
      <w:tr w:rsidR="008E0FD8" w:rsidRPr="008E0FD8" w14:paraId="5D44090F"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68E2297"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Współczynnik odkształceń prądu wejściowego THD</w:t>
            </w:r>
          </w:p>
        </w:tc>
        <w:tc>
          <w:tcPr>
            <w:tcW w:w="7310" w:type="dxa"/>
            <w:tcBorders>
              <w:top w:val="single" w:sz="4" w:space="0" w:color="auto"/>
              <w:left w:val="single" w:sz="4" w:space="0" w:color="auto"/>
              <w:bottom w:val="single" w:sz="4" w:space="0" w:color="auto"/>
              <w:right w:val="single" w:sz="4" w:space="0" w:color="auto"/>
            </w:tcBorders>
            <w:vAlign w:val="center"/>
            <w:hideMark/>
          </w:tcPr>
          <w:p w14:paraId="05D1D0CD" w14:textId="42221FD9"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noProof/>
                <w:sz w:val="22"/>
                <w:szCs w:val="22"/>
                <w:lang w:val="pl-PL"/>
              </w:rPr>
              <w:drawing>
                <wp:inline distT="0" distB="0" distL="0" distR="0" wp14:anchorId="0639E88F" wp14:editId="3A6B8F85">
                  <wp:extent cx="85725" cy="104775"/>
                  <wp:effectExtent l="0" t="0" r="9525" b="9525"/>
                  <wp:docPr id="115238642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Pr>
                <w:rFonts w:ascii="Calibri" w:hAnsi="Calibri" w:cs="Calibri"/>
                <w:sz w:val="22"/>
                <w:szCs w:val="22"/>
                <w:lang w:val="pl-PL"/>
              </w:rPr>
              <w:t xml:space="preserve">2 % (obciążenie liniowe); </w:t>
            </w:r>
            <w:r>
              <w:rPr>
                <w:rFonts w:ascii="Calibri" w:hAnsi="Calibri" w:cs="Calibri"/>
                <w:noProof/>
                <w:sz w:val="22"/>
                <w:szCs w:val="22"/>
                <w:lang w:val="pl-PL"/>
              </w:rPr>
              <w:drawing>
                <wp:inline distT="0" distB="0" distL="0" distR="0" wp14:anchorId="769B6CB8" wp14:editId="36497072">
                  <wp:extent cx="85725" cy="104775"/>
                  <wp:effectExtent l="0" t="0" r="9525" b="9525"/>
                  <wp:docPr id="130099461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Pr>
                <w:rFonts w:ascii="Calibri" w:hAnsi="Calibri" w:cs="Calibri"/>
                <w:sz w:val="22"/>
                <w:szCs w:val="22"/>
                <w:lang w:val="pl-PL"/>
              </w:rPr>
              <w:t xml:space="preserve"> 4 % (obciążenie nieliniowe)</w:t>
            </w:r>
          </w:p>
        </w:tc>
      </w:tr>
      <w:tr w:rsidR="008E0FD8" w:rsidRPr="008E0FD8" w14:paraId="13CAD2D5"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61C7452"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Baterie wewnętrzne w UPS / MODULE BATERYJNYM</w:t>
            </w:r>
          </w:p>
        </w:tc>
        <w:tc>
          <w:tcPr>
            <w:tcW w:w="7310" w:type="dxa"/>
            <w:tcBorders>
              <w:top w:val="single" w:sz="4" w:space="0" w:color="auto"/>
              <w:left w:val="single" w:sz="4" w:space="0" w:color="auto"/>
              <w:bottom w:val="single" w:sz="4" w:space="0" w:color="auto"/>
              <w:right w:val="single" w:sz="4" w:space="0" w:color="auto"/>
            </w:tcBorders>
            <w:vAlign w:val="center"/>
            <w:hideMark/>
          </w:tcPr>
          <w:p w14:paraId="5CA72888"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12V 9Ah; szczelne, bezobsługowe</w:t>
            </w:r>
          </w:p>
        </w:tc>
      </w:tr>
      <w:tr w:rsidR="008E0FD8" w:rsidRPr="008E0FD8" w14:paraId="309A6E02"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6706FEA8" w14:textId="51F65CE4"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Czas podtrzymania (dla 100 % Pmax) przy zastosowaniu baterii wewnętrznych lub z zewnętrznymi modułami bateryjnymi (maks. 2), objętymi dostawą</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264659A"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18 minut</w:t>
            </w:r>
          </w:p>
        </w:tc>
      </w:tr>
      <w:tr w:rsidR="008E0FD8" w:rsidRPr="008E0FD8" w14:paraId="7DDA6986"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2F7B0AE2" w14:textId="4306AC0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HOT-SWAP gorąca wymiana baterii w UPS podczas pracy urządzenia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E5D56DF"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wymagana</w:t>
            </w:r>
          </w:p>
        </w:tc>
      </w:tr>
      <w:tr w:rsidR="008E0FD8" w:rsidRPr="008E0FD8" w14:paraId="38983553"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F0F2294"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Regulowany prąd ładowania baterii</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2AE6CFE"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od 2A do 8A</w:t>
            </w:r>
          </w:p>
        </w:tc>
      </w:tr>
      <w:tr w:rsidR="008E0FD8" w:rsidRPr="008E0FD8" w14:paraId="32573B54"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42427DF4"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Wejście zasilania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0BE6DA74"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1 x IEC 320 C20 (16 A)</w:t>
            </w:r>
          </w:p>
        </w:tc>
      </w:tr>
      <w:tr w:rsidR="008E0FD8" w:rsidRPr="008E0FD8" w14:paraId="2B1C602D"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78BDF47"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Ilość i typ gniazd wyjściowych</w:t>
            </w:r>
          </w:p>
        </w:tc>
        <w:tc>
          <w:tcPr>
            <w:tcW w:w="7310" w:type="dxa"/>
            <w:tcBorders>
              <w:top w:val="single" w:sz="4" w:space="0" w:color="auto"/>
              <w:left w:val="single" w:sz="4" w:space="0" w:color="auto"/>
              <w:bottom w:val="single" w:sz="4" w:space="0" w:color="auto"/>
              <w:right w:val="single" w:sz="4" w:space="0" w:color="auto"/>
            </w:tcBorders>
            <w:vAlign w:val="center"/>
            <w:hideMark/>
          </w:tcPr>
          <w:p w14:paraId="542BB06E" w14:textId="44FDC8A2"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8x IEC 320 C13 (10 A), z czego minimum sekcja 4 gniazda sterowalna + IEC320 C19 (16A)</w:t>
            </w:r>
          </w:p>
        </w:tc>
      </w:tr>
      <w:tr w:rsidR="008E0FD8" w:rsidRPr="008E0FD8" w14:paraId="7128080D"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7AA26D9E"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Sygnalizacja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4544D58"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Wyświetlacz LCD</w:t>
            </w:r>
          </w:p>
        </w:tc>
      </w:tr>
      <w:tr w:rsidR="008E0FD8" w:rsidRPr="008E0FD8" w14:paraId="4E508E70"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27C9C7D2"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Informacje wyświetlane na panelu LCD</w:t>
            </w:r>
          </w:p>
        </w:tc>
        <w:tc>
          <w:tcPr>
            <w:tcW w:w="7310" w:type="dxa"/>
            <w:tcBorders>
              <w:top w:val="single" w:sz="4" w:space="0" w:color="auto"/>
              <w:left w:val="single" w:sz="4" w:space="0" w:color="auto"/>
              <w:bottom w:val="single" w:sz="4" w:space="0" w:color="auto"/>
              <w:right w:val="single" w:sz="4" w:space="0" w:color="auto"/>
            </w:tcBorders>
            <w:vAlign w:val="center"/>
            <w:hideMark/>
          </w:tcPr>
          <w:p w14:paraId="030388C0" w14:textId="1A6867D8"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minimum poziom obciążenia (w %),               </w:t>
            </w:r>
          </w:p>
          <w:p w14:paraId="39A1EFD6" w14:textId="326481E4"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poziom naładowania baterii (w %),                  </w:t>
            </w:r>
          </w:p>
          <w:p w14:paraId="147AC687" w14:textId="54D7D90D"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praca z sieci/baterii/ładowanie baterii, przeciążenie,  </w:t>
            </w:r>
          </w:p>
          <w:p w14:paraId="3BF76CD5" w14:textId="77AE9DAA"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niski poziom baterii,                            </w:t>
            </w:r>
          </w:p>
          <w:p w14:paraId="26836843" w14:textId="00E369B7"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bateria nie podłączona,                          </w:t>
            </w:r>
          </w:p>
          <w:p w14:paraId="451EF518" w14:textId="2F5B34C6"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tryb ECO/Bypass,                                   </w:t>
            </w:r>
          </w:p>
          <w:p w14:paraId="21195640" w14:textId="5904589C"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napięcie wej/wyj                        </w:t>
            </w:r>
          </w:p>
          <w:p w14:paraId="5E86ED2A" w14:textId="16C8455C"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lastRenderedPageBreak/>
              <w:t xml:space="preserve">częstotliwość wej/wyj,                        </w:t>
            </w:r>
          </w:p>
          <w:p w14:paraId="6BD0C407" w14:textId="1C198CC7"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napięcie baterii                             </w:t>
            </w:r>
          </w:p>
          <w:p w14:paraId="3679D9D9" w14:textId="1B3A642B"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 xml:space="preserve">temperatura otoczenia,                         </w:t>
            </w:r>
          </w:p>
          <w:p w14:paraId="4FAD8192" w14:textId="2A21901A" w:rsidR="008E0FD8" w:rsidRPr="008E0FD8" w:rsidRDefault="008E0FD8">
            <w:pPr>
              <w:pStyle w:val="Akapitzlist"/>
              <w:numPr>
                <w:ilvl w:val="0"/>
                <w:numId w:val="32"/>
              </w:numPr>
              <w:spacing w:line="276" w:lineRule="auto"/>
              <w:rPr>
                <w:rFonts w:ascii="Calibri" w:hAnsi="Calibri" w:cs="Calibri"/>
                <w:sz w:val="22"/>
                <w:szCs w:val="22"/>
                <w:lang w:val="pl-PL"/>
              </w:rPr>
            </w:pPr>
            <w:r>
              <w:rPr>
                <w:rFonts w:ascii="Calibri" w:hAnsi="Calibri" w:cs="Calibri"/>
                <w:sz w:val="22"/>
                <w:szCs w:val="22"/>
                <w:lang w:val="pl-PL"/>
              </w:rPr>
              <w:t>wyłączenie dźwięku</w:t>
            </w:r>
          </w:p>
        </w:tc>
      </w:tr>
      <w:tr w:rsidR="008E0FD8" w:rsidRPr="008E0FD8" w14:paraId="536FC7C1"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037534B6" w14:textId="77777777" w:rsidR="008E0FD8" w:rsidRPr="008E0FD8" w:rsidRDefault="008E0FD8" w:rsidP="008E0FD8">
            <w:pPr>
              <w:pStyle w:val="Akapitzlist"/>
              <w:spacing w:line="276" w:lineRule="auto"/>
              <w:ind w:left="0"/>
              <w:rPr>
                <w:rFonts w:ascii="Calibri" w:hAnsi="Calibri" w:cs="Calibri"/>
                <w:b/>
                <w:bCs/>
                <w:sz w:val="22"/>
                <w:szCs w:val="22"/>
                <w:lang w:val="pl-PL"/>
              </w:rPr>
            </w:pPr>
            <w:r>
              <w:rPr>
                <w:rFonts w:ascii="Calibri" w:hAnsi="Calibri" w:cs="Calibri"/>
                <w:b/>
                <w:sz w:val="22"/>
                <w:szCs w:val="22"/>
                <w:lang w:val="pl-PL"/>
              </w:rPr>
              <w:lastRenderedPageBreak/>
              <w:t>Dostępne ustawienia z panelu LCD</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273CB50" w14:textId="64A1FE0D"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minimum ustawienie napięcia wyjściowego, </w:t>
            </w:r>
          </w:p>
          <w:p w14:paraId="6F4B8172" w14:textId="359C12F0"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częstotliwości wyjściowej,  </w:t>
            </w:r>
          </w:p>
          <w:p w14:paraId="3EB1D3E5" w14:textId="3F8F4F57"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włączenie trybu ECO,                              </w:t>
            </w:r>
          </w:p>
          <w:p w14:paraId="471ADE2B" w14:textId="77E38163"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zakresu napięcia w trybie ECO,  </w:t>
            </w:r>
          </w:p>
          <w:p w14:paraId="6CC9F9A0" w14:textId="6DE7A96D"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włączenie/wyłączenie trybu Bypass,                 </w:t>
            </w:r>
          </w:p>
          <w:p w14:paraId="1B7A5F72" w14:textId="6B5B9B2E"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zakresu napięcia w trybie Bypass, </w:t>
            </w:r>
          </w:p>
          <w:p w14:paraId="40AC56AE" w14:textId="345D12CC"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zakresu częstotliwości w trybie Bypass, </w:t>
            </w:r>
          </w:p>
          <w:p w14:paraId="2E8628E1" w14:textId="71A6E2EA"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włączenie/wyłączenie sterowalnych gniazd,      </w:t>
            </w:r>
          </w:p>
          <w:p w14:paraId="6BDB0725" w14:textId="2A5C1DCD"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czasu zasilania sterowalnych gniazd, </w:t>
            </w:r>
          </w:p>
          <w:p w14:paraId="4CADF440" w14:textId="2AEFFF71"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pojemności zainstalowanych baterii,  </w:t>
            </w:r>
          </w:p>
          <w:p w14:paraId="488024F9" w14:textId="54274DD8"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prądu ładowania ładowarki,           </w:t>
            </w:r>
          </w:p>
          <w:p w14:paraId="78404ABE" w14:textId="02E22F5D" w:rsid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 xml:space="preserve">ustawienie logiki EPO,                           </w:t>
            </w:r>
          </w:p>
          <w:p w14:paraId="7717499B" w14:textId="3A3FB8BC" w:rsidR="008E0FD8" w:rsidRPr="008E0FD8" w:rsidRDefault="008E0FD8">
            <w:pPr>
              <w:pStyle w:val="Akapitzlist"/>
              <w:numPr>
                <w:ilvl w:val="0"/>
                <w:numId w:val="33"/>
              </w:numPr>
              <w:spacing w:line="276" w:lineRule="auto"/>
              <w:rPr>
                <w:rFonts w:ascii="Calibri" w:hAnsi="Calibri" w:cs="Calibri"/>
                <w:sz w:val="22"/>
                <w:szCs w:val="22"/>
                <w:lang w:val="pl-PL"/>
              </w:rPr>
            </w:pPr>
            <w:r>
              <w:rPr>
                <w:rFonts w:ascii="Calibri" w:hAnsi="Calibri" w:cs="Calibri"/>
                <w:sz w:val="22"/>
                <w:szCs w:val="22"/>
                <w:lang w:val="pl-PL"/>
              </w:rPr>
              <w:t>włączenie autotestu</w:t>
            </w:r>
          </w:p>
        </w:tc>
      </w:tr>
      <w:tr w:rsidR="008E0FD8" w:rsidRPr="008E0FD8" w14:paraId="1B04315C"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024F081D"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Możliwość podłączenia dodatkowych, zewnętrznych modułów bateryjnych (producenta)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2CF70193"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wymagane</w:t>
            </w:r>
          </w:p>
        </w:tc>
      </w:tr>
      <w:tr w:rsidR="008E0FD8" w:rsidRPr="008E0FD8" w14:paraId="6A27FC5E"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0AE64F72"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Możliwość podłączenia dodatkowych, zewnętrznych baterii o pojemności powyżej 9Ah za pomocą kabla dostarczanego przez producenta. Kabel powinien być wyposażony z jednej strony we wtyk pasujący do zasilacza UPS a z drugiej strony w tulejki oczkowe</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08284A8"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wymagane</w:t>
            </w:r>
          </w:p>
        </w:tc>
      </w:tr>
      <w:tr w:rsidR="008E0FD8" w:rsidRPr="008E0FD8" w14:paraId="20B69E03"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B098C1A"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Interfejs komunikacyjny</w:t>
            </w:r>
          </w:p>
        </w:tc>
        <w:tc>
          <w:tcPr>
            <w:tcW w:w="7310" w:type="dxa"/>
            <w:tcBorders>
              <w:top w:val="single" w:sz="4" w:space="0" w:color="auto"/>
              <w:left w:val="single" w:sz="4" w:space="0" w:color="auto"/>
              <w:bottom w:val="single" w:sz="4" w:space="0" w:color="auto"/>
              <w:right w:val="single" w:sz="4" w:space="0" w:color="auto"/>
            </w:tcBorders>
            <w:vAlign w:val="center"/>
            <w:hideMark/>
          </w:tcPr>
          <w:p w14:paraId="58506EC7"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RS232, USB, SNMP</w:t>
            </w:r>
          </w:p>
        </w:tc>
      </w:tr>
      <w:tr w:rsidR="008E0FD8" w:rsidRPr="008E0FD8" w14:paraId="2D09BB1D"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8D8AB24" w14:textId="399ED5BF"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Gniazdo na kartę rozszerzeń np. SNMP</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B2A3395"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wymagane</w:t>
            </w:r>
          </w:p>
        </w:tc>
      </w:tr>
      <w:tr w:rsidR="008E0FD8" w:rsidRPr="008E0FD8" w14:paraId="23993513"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695C1529"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Wsporniki do montażu w szafie RACK</w:t>
            </w:r>
          </w:p>
        </w:tc>
        <w:tc>
          <w:tcPr>
            <w:tcW w:w="7310" w:type="dxa"/>
            <w:tcBorders>
              <w:top w:val="single" w:sz="4" w:space="0" w:color="auto"/>
              <w:left w:val="single" w:sz="4" w:space="0" w:color="auto"/>
              <w:bottom w:val="single" w:sz="4" w:space="0" w:color="auto"/>
              <w:right w:val="single" w:sz="4" w:space="0" w:color="auto"/>
            </w:tcBorders>
            <w:vAlign w:val="center"/>
            <w:hideMark/>
          </w:tcPr>
          <w:p w14:paraId="0CA4A6A1"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wymagane</w:t>
            </w:r>
          </w:p>
        </w:tc>
      </w:tr>
      <w:tr w:rsidR="008E0FD8" w:rsidRPr="008E0FD8" w14:paraId="064CC122"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4795D16D"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Zabezpieczenia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59900CED"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przeciwzwarciowe, przeciwprzepięciowe, przeciążeniowe</w:t>
            </w:r>
          </w:p>
        </w:tc>
      </w:tr>
      <w:tr w:rsidR="008E0FD8" w:rsidRPr="008E0FD8" w14:paraId="245E70C1"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4999F172"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lastRenderedPageBreak/>
              <w:t>Złącze EPO</w:t>
            </w:r>
          </w:p>
        </w:tc>
        <w:tc>
          <w:tcPr>
            <w:tcW w:w="7310" w:type="dxa"/>
            <w:tcBorders>
              <w:top w:val="single" w:sz="4" w:space="0" w:color="auto"/>
              <w:left w:val="single" w:sz="4" w:space="0" w:color="auto"/>
              <w:bottom w:val="single" w:sz="4" w:space="0" w:color="auto"/>
              <w:right w:val="single" w:sz="4" w:space="0" w:color="auto"/>
            </w:tcBorders>
            <w:vAlign w:val="center"/>
            <w:hideMark/>
          </w:tcPr>
          <w:p w14:paraId="31D06FD1"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wymagane</w:t>
            </w:r>
          </w:p>
        </w:tc>
      </w:tr>
      <w:tr w:rsidR="008E0FD8" w:rsidRPr="008E0FD8" w14:paraId="272AC4CD"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197D56B7" w14:textId="1D7ADBE0"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Wymiary UPS wersja RACK</w:t>
            </w:r>
          </w:p>
        </w:tc>
        <w:tc>
          <w:tcPr>
            <w:tcW w:w="7310" w:type="dxa"/>
            <w:tcBorders>
              <w:top w:val="single" w:sz="4" w:space="0" w:color="auto"/>
              <w:left w:val="single" w:sz="4" w:space="0" w:color="auto"/>
              <w:bottom w:val="single" w:sz="4" w:space="0" w:color="auto"/>
              <w:right w:val="single" w:sz="4" w:space="0" w:color="auto"/>
            </w:tcBorders>
            <w:vAlign w:val="center"/>
            <w:hideMark/>
          </w:tcPr>
          <w:p w14:paraId="787477F4"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nie większe niż: wysokość 2U; głębokość 630 mm</w:t>
            </w:r>
          </w:p>
        </w:tc>
      </w:tr>
      <w:tr w:rsidR="008E0FD8" w:rsidRPr="008E0FD8" w14:paraId="50E68E9E"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0D85DDA3" w14:textId="502B7F48"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Wymiary MODUŁU BATERYJNEGO w wersji RACK, jeżeli jest zastosowany</w:t>
            </w:r>
          </w:p>
        </w:tc>
        <w:tc>
          <w:tcPr>
            <w:tcW w:w="7310" w:type="dxa"/>
            <w:tcBorders>
              <w:top w:val="single" w:sz="4" w:space="0" w:color="auto"/>
              <w:left w:val="single" w:sz="4" w:space="0" w:color="auto"/>
              <w:bottom w:val="single" w:sz="4" w:space="0" w:color="auto"/>
              <w:right w:val="single" w:sz="4" w:space="0" w:color="auto"/>
            </w:tcBorders>
            <w:vAlign w:val="center"/>
            <w:hideMark/>
          </w:tcPr>
          <w:p w14:paraId="63947201"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nie większe niż: wysokość 2U; głębokość 630 mm</w:t>
            </w:r>
          </w:p>
        </w:tc>
      </w:tr>
      <w:tr w:rsidR="008E0FD8" w:rsidRPr="008E0FD8" w14:paraId="29623129"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7FA1FB6"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Gwarancja</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19F5A91" w14:textId="77777777"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minimum 24 miesiące na elektronikę i 24 miesiące na akumulatory</w:t>
            </w:r>
          </w:p>
        </w:tc>
      </w:tr>
      <w:tr w:rsidR="008E0FD8" w:rsidRPr="008E0FD8" w14:paraId="30FFB0E0"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3704CC7C"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Serwis</w:t>
            </w:r>
          </w:p>
        </w:tc>
        <w:tc>
          <w:tcPr>
            <w:tcW w:w="7310" w:type="dxa"/>
            <w:tcBorders>
              <w:top w:val="single" w:sz="4" w:space="0" w:color="auto"/>
              <w:left w:val="single" w:sz="4" w:space="0" w:color="auto"/>
              <w:bottom w:val="single" w:sz="4" w:space="0" w:color="auto"/>
              <w:right w:val="single" w:sz="4" w:space="0" w:color="auto"/>
            </w:tcBorders>
            <w:vAlign w:val="center"/>
            <w:hideMark/>
          </w:tcPr>
          <w:p w14:paraId="4E257BAD" w14:textId="426DB332"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autoryzowany serwis producenta zlokalizowany w Polsce,</w:t>
            </w:r>
          </w:p>
          <w:p w14:paraId="0F067265" w14:textId="0580502C"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naprawa w maksymalnie 5 dni roboczych,</w:t>
            </w:r>
          </w:p>
          <w:p w14:paraId="055F384E" w14:textId="269054A5" w:rsidR="008E0FD8" w:rsidRPr="008E0FD8" w:rsidRDefault="008E0FD8" w:rsidP="008E0FD8">
            <w:pPr>
              <w:pStyle w:val="Akapitzlist"/>
              <w:spacing w:line="276" w:lineRule="auto"/>
              <w:ind w:left="0"/>
              <w:rPr>
                <w:rFonts w:ascii="Calibri" w:hAnsi="Calibri" w:cs="Calibri"/>
                <w:sz w:val="22"/>
                <w:szCs w:val="22"/>
                <w:lang w:val="pl-PL"/>
              </w:rPr>
            </w:pPr>
            <w:r>
              <w:rPr>
                <w:rFonts w:ascii="Calibri" w:hAnsi="Calibri" w:cs="Calibri"/>
                <w:sz w:val="22"/>
                <w:szCs w:val="22"/>
                <w:lang w:val="pl-PL"/>
              </w:rPr>
              <w:t>serwis realizowany w systemie door to door.</w:t>
            </w:r>
          </w:p>
        </w:tc>
      </w:tr>
      <w:tr w:rsidR="008E0FD8" w:rsidRPr="008E0FD8" w14:paraId="35176C3A"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C313F1D" w14:textId="77777777" w:rsidR="008E0FD8" w:rsidRPr="008E0FD8" w:rsidRDefault="008E0FD8" w:rsidP="008E0FD8">
            <w:pPr>
              <w:pStyle w:val="Akapitzlist"/>
              <w:spacing w:line="276" w:lineRule="auto"/>
              <w:ind w:left="0"/>
              <w:rPr>
                <w:rFonts w:ascii="Calibri" w:hAnsi="Calibri" w:cs="Calibri"/>
                <w:b/>
                <w:sz w:val="22"/>
                <w:szCs w:val="22"/>
                <w:lang w:val="pl-PL"/>
              </w:rPr>
            </w:pPr>
            <w:r>
              <w:rPr>
                <w:rFonts w:ascii="Calibri" w:hAnsi="Calibri" w:cs="Calibri"/>
                <w:b/>
                <w:sz w:val="22"/>
                <w:szCs w:val="22"/>
                <w:lang w:val="pl-PL"/>
              </w:rPr>
              <w:t>Oprogramowanie</w:t>
            </w:r>
          </w:p>
        </w:tc>
        <w:tc>
          <w:tcPr>
            <w:tcW w:w="7310" w:type="dxa"/>
            <w:tcBorders>
              <w:top w:val="single" w:sz="4" w:space="0" w:color="auto"/>
              <w:left w:val="single" w:sz="4" w:space="0" w:color="auto"/>
              <w:bottom w:val="single" w:sz="4" w:space="0" w:color="auto"/>
              <w:right w:val="single" w:sz="4" w:space="0" w:color="auto"/>
            </w:tcBorders>
            <w:vAlign w:val="center"/>
            <w:hideMark/>
          </w:tcPr>
          <w:p w14:paraId="684F2F26" w14:textId="0A0BFB50" w:rsidR="008E0FD8" w:rsidRPr="008E0FD8" w:rsidRDefault="008E0FD8">
            <w:pPr>
              <w:pStyle w:val="Akapitzlist"/>
              <w:numPr>
                <w:ilvl w:val="0"/>
                <w:numId w:val="37"/>
              </w:numPr>
              <w:spacing w:line="276" w:lineRule="auto"/>
              <w:rPr>
                <w:rFonts w:ascii="Calibri" w:hAnsi="Calibri" w:cs="Calibri"/>
                <w:sz w:val="22"/>
                <w:szCs w:val="22"/>
                <w:lang w:val="pl-PL"/>
              </w:rPr>
            </w:pPr>
            <w:r>
              <w:rPr>
                <w:rFonts w:ascii="Calibri" w:hAnsi="Calibri" w:cs="Calibri"/>
                <w:sz w:val="22"/>
                <w:szCs w:val="22"/>
                <w:lang w:val="pl-PL"/>
              </w:rPr>
              <w:t>oprogramowanie w języku polskim do zarządzania i monitorowania pracy UPS,</w:t>
            </w:r>
          </w:p>
          <w:p w14:paraId="40D0A90F" w14:textId="08B4D67A" w:rsidR="008E0FD8" w:rsidRPr="008E0FD8" w:rsidRDefault="008E0FD8">
            <w:pPr>
              <w:pStyle w:val="Akapitzlist"/>
              <w:numPr>
                <w:ilvl w:val="0"/>
                <w:numId w:val="37"/>
              </w:numPr>
              <w:spacing w:line="276" w:lineRule="auto"/>
              <w:rPr>
                <w:rFonts w:ascii="Calibri" w:hAnsi="Calibri" w:cs="Calibri"/>
                <w:sz w:val="22"/>
                <w:szCs w:val="22"/>
                <w:lang w:val="pl-PL"/>
              </w:rPr>
            </w:pPr>
            <w:r>
              <w:rPr>
                <w:rFonts w:ascii="Calibri" w:hAnsi="Calibri" w:cs="Calibri"/>
                <w:sz w:val="22"/>
                <w:szCs w:val="22"/>
                <w:lang w:val="pl-PL"/>
              </w:rPr>
              <w:t>wsparcie dla systemów: Windows, Windows Server, Linux oraz systemów wirtualizacji,</w:t>
            </w:r>
          </w:p>
          <w:p w14:paraId="1FF27FA4" w14:textId="1C94B275" w:rsidR="008E0FD8" w:rsidRPr="008E0FD8" w:rsidRDefault="008E0FD8">
            <w:pPr>
              <w:pStyle w:val="Akapitzlist"/>
              <w:numPr>
                <w:ilvl w:val="0"/>
                <w:numId w:val="37"/>
              </w:numPr>
              <w:spacing w:line="276" w:lineRule="auto"/>
              <w:rPr>
                <w:rFonts w:ascii="Calibri" w:hAnsi="Calibri" w:cs="Calibri"/>
                <w:sz w:val="22"/>
                <w:szCs w:val="22"/>
                <w:lang w:val="pl-PL"/>
              </w:rPr>
            </w:pPr>
            <w:r>
              <w:rPr>
                <w:rFonts w:ascii="Calibri" w:hAnsi="Calibri" w:cs="Calibri"/>
                <w:sz w:val="22"/>
                <w:szCs w:val="22"/>
                <w:lang w:val="pl-PL"/>
              </w:rPr>
              <w:t xml:space="preserve">wymagane wsparcie producenta (telefoniczne oraz mailowe) w języku polskim odnośnie konfiguracji i rozwiązywania problemów.  </w:t>
            </w:r>
          </w:p>
        </w:tc>
      </w:tr>
      <w:tr w:rsidR="008E0FD8" w:rsidRPr="008E0FD8" w14:paraId="4885974C" w14:textId="77777777" w:rsidTr="008E0FD8">
        <w:tc>
          <w:tcPr>
            <w:tcW w:w="2330" w:type="dxa"/>
            <w:tcBorders>
              <w:top w:val="single" w:sz="4" w:space="0" w:color="auto"/>
              <w:left w:val="single" w:sz="4" w:space="0" w:color="auto"/>
              <w:bottom w:val="single" w:sz="4" w:space="0" w:color="auto"/>
              <w:right w:val="single" w:sz="4" w:space="0" w:color="auto"/>
            </w:tcBorders>
            <w:vAlign w:val="center"/>
            <w:hideMark/>
          </w:tcPr>
          <w:p w14:paraId="5E9FC901" w14:textId="4C71D5CA" w:rsidR="008E0FD8" w:rsidRPr="008E0FD8" w:rsidRDefault="009630C5" w:rsidP="008E0FD8">
            <w:pPr>
              <w:pStyle w:val="Akapitzlist"/>
              <w:spacing w:line="276" w:lineRule="auto"/>
              <w:ind w:left="0"/>
              <w:rPr>
                <w:rFonts w:ascii="Calibri" w:hAnsi="Calibri" w:cs="Calibri"/>
                <w:b/>
                <w:sz w:val="22"/>
                <w:szCs w:val="22"/>
                <w:lang w:val="pl-PL"/>
              </w:rPr>
            </w:pPr>
            <w:r>
              <w:rPr>
                <w:rFonts w:ascii="Calibri" w:hAnsi="Calibri" w:cs="Calibri"/>
                <w:b/>
                <w:sz w:val="22"/>
                <w:szCs w:val="22"/>
              </w:rPr>
              <w:t>Wymagania dodatkowe</w:t>
            </w:r>
          </w:p>
        </w:tc>
        <w:tc>
          <w:tcPr>
            <w:tcW w:w="7310" w:type="dxa"/>
            <w:tcBorders>
              <w:top w:val="single" w:sz="4" w:space="0" w:color="auto"/>
              <w:left w:val="single" w:sz="4" w:space="0" w:color="auto"/>
              <w:bottom w:val="single" w:sz="4" w:space="0" w:color="auto"/>
              <w:right w:val="single" w:sz="4" w:space="0" w:color="auto"/>
            </w:tcBorders>
            <w:vAlign w:val="center"/>
            <w:hideMark/>
          </w:tcPr>
          <w:p w14:paraId="1BAC53C2" w14:textId="044A06C0" w:rsidR="008E0FD8" w:rsidRPr="006A6AC6" w:rsidRDefault="008E0FD8" w:rsidP="00D66CA1">
            <w:pPr>
              <w:pStyle w:val="Akapitzlist"/>
              <w:spacing w:line="276" w:lineRule="auto"/>
              <w:rPr>
                <w:rFonts w:ascii="Calibri" w:hAnsi="Calibri" w:cs="Calibri"/>
                <w:sz w:val="22"/>
                <w:szCs w:val="22"/>
                <w:lang w:val="pl-PL"/>
              </w:rPr>
            </w:pPr>
          </w:p>
          <w:p w14:paraId="3D15EBD4" w14:textId="42E3E457" w:rsidR="008E0FD8" w:rsidRPr="008E0FD8" w:rsidRDefault="008E0FD8">
            <w:pPr>
              <w:pStyle w:val="Akapitzlist"/>
              <w:numPr>
                <w:ilvl w:val="0"/>
                <w:numId w:val="36"/>
              </w:numPr>
              <w:spacing w:line="276" w:lineRule="auto"/>
              <w:rPr>
                <w:rFonts w:ascii="Calibri" w:hAnsi="Calibri" w:cs="Calibri"/>
                <w:sz w:val="22"/>
                <w:szCs w:val="22"/>
                <w:lang w:val="pl-PL"/>
              </w:rPr>
            </w:pPr>
            <w:r>
              <w:rPr>
                <w:rFonts w:ascii="Calibri" w:hAnsi="Calibri" w:cs="Calibri"/>
                <w:sz w:val="22"/>
                <w:szCs w:val="22"/>
                <w:lang w:val="pl-PL"/>
              </w:rPr>
              <w:t>urządzenie ma posiadać deklarację zgodności CE</w:t>
            </w:r>
          </w:p>
          <w:p w14:paraId="345CC953" w14:textId="17228475" w:rsidR="008E0FD8" w:rsidRPr="008E0FD8" w:rsidRDefault="008E0FD8">
            <w:pPr>
              <w:pStyle w:val="Akapitzlist"/>
              <w:numPr>
                <w:ilvl w:val="0"/>
                <w:numId w:val="36"/>
              </w:numPr>
              <w:spacing w:line="276" w:lineRule="auto"/>
              <w:rPr>
                <w:rFonts w:ascii="Calibri" w:hAnsi="Calibri" w:cs="Calibri"/>
                <w:sz w:val="22"/>
                <w:szCs w:val="22"/>
                <w:lang w:val="pl-PL"/>
              </w:rPr>
            </w:pPr>
            <w:r>
              <w:rPr>
                <w:rFonts w:ascii="Calibri" w:hAnsi="Calibri" w:cs="Calibri"/>
                <w:sz w:val="22"/>
                <w:szCs w:val="22"/>
                <w:lang w:val="pl-PL"/>
              </w:rPr>
              <w:t>Wykonawca musi posiadać status Autoryzowanego Partnera producenta oferowanego UPS</w:t>
            </w:r>
          </w:p>
          <w:p w14:paraId="66A44F5D" w14:textId="2C47C17F" w:rsidR="008E0FD8" w:rsidRPr="008E0FD8" w:rsidRDefault="008E0FD8" w:rsidP="00D66CA1">
            <w:pPr>
              <w:pStyle w:val="Akapitzlist"/>
              <w:spacing w:line="276" w:lineRule="auto"/>
              <w:rPr>
                <w:rFonts w:ascii="Calibri" w:hAnsi="Calibri" w:cs="Calibri"/>
                <w:sz w:val="22"/>
                <w:szCs w:val="22"/>
                <w:lang w:val="pl-PL"/>
              </w:rPr>
            </w:pPr>
          </w:p>
        </w:tc>
      </w:tr>
    </w:tbl>
    <w:p w14:paraId="06CFCBC1" w14:textId="77777777" w:rsidR="008E0FD8" w:rsidRPr="00491DA8" w:rsidRDefault="008E0FD8" w:rsidP="008E0FD8">
      <w:pPr>
        <w:pStyle w:val="Akapitzlist"/>
        <w:ind w:left="360"/>
        <w:rPr>
          <w:rFonts w:ascii="Calibri" w:hAnsi="Calibri" w:cs="Calibri"/>
        </w:rPr>
      </w:pPr>
    </w:p>
    <w:sectPr w:rsidR="008E0FD8" w:rsidRPr="00491DA8" w:rsidSect="00581C71">
      <w:headerReference w:type="default" r:id="rId11"/>
      <w:footerReference w:type="even" r:id="rId12"/>
      <w:footerReference w:type="default" r:id="rId13"/>
      <w:headerReference w:type="first" r:id="rId14"/>
      <w:footerReference w:type="first" r:id="rId15"/>
      <w:pgSz w:w="11906" w:h="16838" w:code="9"/>
      <w:pgMar w:top="2115" w:right="1440" w:bottom="1440" w:left="1440" w:header="720" w:footer="11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59A5" w14:textId="77777777" w:rsidR="003D49C7" w:rsidRDefault="003D49C7">
      <w:r>
        <w:separator/>
      </w:r>
    </w:p>
  </w:endnote>
  <w:endnote w:type="continuationSeparator" w:id="0">
    <w:p w14:paraId="61F09A4B" w14:textId="77777777" w:rsidR="003D49C7" w:rsidRDefault="003D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Play">
    <w:altName w:val="Calibri"/>
    <w:charset w:val="00"/>
    <w:family w:val="auto"/>
    <w:pitch w:val="default"/>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6" w14:textId="77777777" w:rsidR="0044605B" w:rsidRDefault="0044605B">
    <w:pPr>
      <w:pBdr>
        <w:top w:val="nil"/>
        <w:left w:val="nil"/>
        <w:bottom w:val="nil"/>
        <w:right w:val="nil"/>
        <w:between w:val="nil"/>
      </w:pBdr>
      <w:tabs>
        <w:tab w:val="center" w:pos="4680"/>
        <w:tab w:val="right" w:pos="9360"/>
      </w:tabs>
      <w:rPr>
        <w:color w:val="000000"/>
      </w:rPr>
    </w:pPr>
    <w:bookmarkStart w:id="14" w:name="bookmark=id.gjdgxs" w:colFirst="0" w:colLast="0"/>
    <w:bookmarkEnd w:id="14"/>
  </w:p>
  <w:p w14:paraId="000006A7" w14:textId="77777777" w:rsidR="0044605B" w:rsidRDefault="0044605B">
    <w:pPr>
      <w:pBdr>
        <w:top w:val="nil"/>
        <w:left w:val="nil"/>
        <w:bottom w:val="nil"/>
        <w:right w:val="nil"/>
        <w:between w:val="nil"/>
      </w:pBdr>
      <w:tabs>
        <w:tab w:val="center" w:pos="4680"/>
        <w:tab w:val="right" w:pos="9360"/>
      </w:tabs>
      <w:rPr>
        <w:color w:val="000000"/>
      </w:rPr>
    </w:pPr>
  </w:p>
  <w:p w14:paraId="000006A8" w14:textId="77777777" w:rsidR="0044605B" w:rsidRDefault="0044605B">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9" w14:textId="77777777" w:rsidR="0044605B" w:rsidRDefault="006D749C">
    <w:pPr>
      <w:pBdr>
        <w:top w:val="nil"/>
        <w:left w:val="nil"/>
        <w:bottom w:val="nil"/>
        <w:right w:val="nil"/>
        <w:between w:val="nil"/>
      </w:pBdr>
      <w:tabs>
        <w:tab w:val="center" w:pos="4536"/>
        <w:tab w:val="right" w:pos="9072"/>
        <w:tab w:val="right" w:pos="9720"/>
      </w:tabs>
      <w:spacing w:before="360" w:line="360" w:lineRule="auto"/>
      <w:rPr>
        <w:color w:val="000000"/>
      </w:rPr>
    </w:pPr>
    <w:r>
      <w:rPr>
        <w:rFonts w:ascii="Aptos" w:eastAsia="Aptos" w:hAnsi="Aptos" w:cs="Aptos"/>
        <w:color w:val="646464"/>
        <w:sz w:val="10"/>
        <w:szCs w:val="10"/>
      </w:rPr>
      <w:t xml:space="preserve">CENTRUM PROJEKTÓW POLSKA CYFROWA </w:t>
    </w:r>
    <w:r>
      <w:rPr>
        <w:rFonts w:ascii="Aptos" w:eastAsia="Aptos" w:hAnsi="Aptos" w:cs="Aptos"/>
        <w:color w:val="646464"/>
        <w:sz w:val="10"/>
        <w:szCs w:val="10"/>
      </w:rPr>
      <w:br/>
      <w:t xml:space="preserve">ul. Spokojna 13A, 01-044 Warszawa | infolinia: +48 223152340 | e-mail: </w:t>
    </w:r>
    <w:proofErr w:type="spellStart"/>
    <w:r>
      <w:rPr>
        <w:rFonts w:ascii="Aptos" w:eastAsia="Aptos" w:hAnsi="Aptos" w:cs="Aptos"/>
        <w:color w:val="646464"/>
        <w:sz w:val="10"/>
        <w:szCs w:val="10"/>
      </w:rPr>
      <w:t>cppc@cppc.gov.p</w:t>
    </w:r>
    <w:proofErr w:type="spellEnd"/>
    <w:r>
      <w:rPr>
        <w:noProof/>
      </w:rPr>
      <w:drawing>
        <wp:anchor distT="0" distB="0" distL="114300" distR="114300" simplePos="0" relativeHeight="251657728" behindDoc="0" locked="0" layoutInCell="1" hidden="0" allowOverlap="1" wp14:anchorId="65F8FF94" wp14:editId="1C71C714">
          <wp:simplePos x="0" y="0"/>
          <wp:positionH relativeFrom="column">
            <wp:posOffset>2848411</wp:posOffset>
          </wp:positionH>
          <wp:positionV relativeFrom="paragraph">
            <wp:posOffset>117721</wp:posOffset>
          </wp:positionV>
          <wp:extent cx="3705225" cy="323215"/>
          <wp:effectExtent l="0" t="0" r="0" b="0"/>
          <wp:wrapSquare wrapText="bothSides" distT="0" distB="0" distL="114300" distR="114300"/>
          <wp:docPr id="12387757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705225" cy="323215"/>
                  </a:xfrm>
                  <a:prstGeom prst="rect">
                    <a:avLst/>
                  </a:prstGeom>
                  <a:ln/>
                </pic:spPr>
              </pic:pic>
            </a:graphicData>
          </a:graphic>
        </wp:anchor>
      </w:drawing>
    </w:r>
  </w:p>
  <w:p w14:paraId="000006AA" w14:textId="74F2ECB8" w:rsidR="0044605B" w:rsidRDefault="006D749C">
    <w:pPr>
      <w:pBdr>
        <w:top w:val="nil"/>
        <w:left w:val="nil"/>
        <w:bottom w:val="nil"/>
        <w:right w:val="nil"/>
        <w:between w:val="nil"/>
      </w:pBdr>
      <w:tabs>
        <w:tab w:val="center" w:pos="4536"/>
        <w:tab w:val="right" w:pos="9072"/>
      </w:tabs>
      <w:spacing w:after="360"/>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E50E0">
      <w:rPr>
        <w:noProof/>
        <w:color w:val="000000"/>
        <w:sz w:val="20"/>
        <w:szCs w:val="20"/>
      </w:rPr>
      <w:t>2</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B" w14:textId="77777777" w:rsidR="0044605B" w:rsidRDefault="006D749C">
    <w:pPr>
      <w:pBdr>
        <w:top w:val="nil"/>
        <w:left w:val="nil"/>
        <w:bottom w:val="nil"/>
        <w:right w:val="nil"/>
        <w:between w:val="nil"/>
      </w:pBdr>
      <w:tabs>
        <w:tab w:val="center" w:pos="4536"/>
        <w:tab w:val="right" w:pos="9072"/>
        <w:tab w:val="left" w:pos="2450"/>
      </w:tabs>
      <w:spacing w:before="360" w:after="360" w:line="360" w:lineRule="auto"/>
      <w:rPr>
        <w:color w:val="000000"/>
      </w:rPr>
    </w:pPr>
    <w:bookmarkStart w:id="15" w:name="bookmark=id.1fob9te" w:colFirst="0" w:colLast="0"/>
    <w:bookmarkStart w:id="16" w:name="_heading=h.2tfbga5guvcy" w:colFirst="0" w:colLast="0"/>
    <w:bookmarkEnd w:id="15"/>
    <w:bookmarkEnd w:id="16"/>
    <w:r>
      <w:rPr>
        <w:rFonts w:ascii="Aptos" w:eastAsia="Aptos" w:hAnsi="Aptos" w:cs="Aptos"/>
        <w:color w:val="646464"/>
        <w:sz w:val="10"/>
        <w:szCs w:val="10"/>
      </w:rPr>
      <w:t xml:space="preserve">CENTRUM PROJEKTÓW POLSKA CYFROWA </w:t>
    </w:r>
    <w:r>
      <w:rPr>
        <w:rFonts w:ascii="Aptos" w:eastAsia="Aptos" w:hAnsi="Aptos" w:cs="Aptos"/>
        <w:color w:val="646464"/>
        <w:sz w:val="10"/>
        <w:szCs w:val="10"/>
      </w:rPr>
      <w:tab/>
    </w:r>
    <w:r>
      <w:rPr>
        <w:rFonts w:ascii="Aptos" w:eastAsia="Aptos" w:hAnsi="Aptos" w:cs="Aptos"/>
        <w:color w:val="646464"/>
        <w:sz w:val="10"/>
        <w:szCs w:val="10"/>
      </w:rPr>
      <w:br/>
      <w:t xml:space="preserve">ul. Spokojna 13A, 01-044 Warszawa | infolinia: +48 223152340 | e-mail: </w:t>
    </w:r>
    <w:proofErr w:type="spellStart"/>
    <w:r>
      <w:rPr>
        <w:rFonts w:ascii="Aptos" w:eastAsia="Aptos" w:hAnsi="Aptos" w:cs="Aptos"/>
        <w:color w:val="646464"/>
        <w:sz w:val="10"/>
        <w:szCs w:val="10"/>
      </w:rPr>
      <w:t>cppc@cppc.gov.p</w:t>
    </w:r>
    <w:proofErr w:type="spellEnd"/>
    <w:r w:rsidR="00000000">
      <w:pict w14:anchorId="63AAC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margin-left:-61.25pt;margin-top:490.05pt;width:599.6pt;height:262.45pt;z-index:-251656704;mso-wrap-edited:f;mso-width-percent:0;mso-height-percent:0;mso-position-horizontal:absolute;mso-position-horizontal-relative:margin;mso-position-vertical:absolute;mso-position-vertical-relative:text;mso-width-percent:0;mso-height-percent:0" o:allowincell="f">
          <v:imagedata r:id="rId1" o:title="cppc_elementy_tla"/>
          <w10:wrap anchorx="margin"/>
        </v:shape>
      </w:pict>
    </w:r>
    <w:r>
      <w:rPr>
        <w:noProof/>
      </w:rPr>
      <w:drawing>
        <wp:anchor distT="0" distB="0" distL="114300" distR="114300" simplePos="0" relativeHeight="251658752" behindDoc="0" locked="0" layoutInCell="1" hidden="0" allowOverlap="1" wp14:anchorId="78B6B5AD" wp14:editId="1464A476">
          <wp:simplePos x="0" y="0"/>
          <wp:positionH relativeFrom="column">
            <wp:posOffset>2651153</wp:posOffset>
          </wp:positionH>
          <wp:positionV relativeFrom="paragraph">
            <wp:posOffset>254114</wp:posOffset>
          </wp:positionV>
          <wp:extent cx="3705225" cy="323215"/>
          <wp:effectExtent l="0" t="0" r="0" b="0"/>
          <wp:wrapSquare wrapText="bothSides" distT="0" distB="0" distL="114300" distR="114300"/>
          <wp:docPr id="12387757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705225" cy="323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9F26E" w14:textId="77777777" w:rsidR="003D49C7" w:rsidRDefault="003D49C7">
      <w:r>
        <w:separator/>
      </w:r>
    </w:p>
  </w:footnote>
  <w:footnote w:type="continuationSeparator" w:id="0">
    <w:p w14:paraId="7F397022" w14:textId="77777777" w:rsidR="003D49C7" w:rsidRDefault="003D4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4" w14:textId="77777777" w:rsidR="0044605B" w:rsidRDefault="006D749C">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5680" behindDoc="0" locked="0" layoutInCell="1" hidden="0" allowOverlap="1" wp14:anchorId="454CC92C" wp14:editId="2DCE7F5E">
          <wp:simplePos x="0" y="0"/>
          <wp:positionH relativeFrom="column">
            <wp:posOffset>-914399</wp:posOffset>
          </wp:positionH>
          <wp:positionV relativeFrom="paragraph">
            <wp:posOffset>-436508</wp:posOffset>
          </wp:positionV>
          <wp:extent cx="2314575" cy="961390"/>
          <wp:effectExtent l="0" t="0" r="0" b="0"/>
          <wp:wrapSquare wrapText="bothSides" distT="0" distB="0" distL="114300" distR="114300"/>
          <wp:docPr id="12387757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314575" cy="9613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6A5" w14:textId="77777777" w:rsidR="0044605B" w:rsidRDefault="006D749C">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6704" behindDoc="0" locked="0" layoutInCell="1" hidden="0" allowOverlap="1" wp14:anchorId="53EF1CD6" wp14:editId="17321E07">
          <wp:simplePos x="0" y="0"/>
          <wp:positionH relativeFrom="column">
            <wp:posOffset>-893927</wp:posOffset>
          </wp:positionH>
          <wp:positionV relativeFrom="paragraph">
            <wp:posOffset>-436510</wp:posOffset>
          </wp:positionV>
          <wp:extent cx="2314575" cy="961390"/>
          <wp:effectExtent l="0" t="0" r="0" b="0"/>
          <wp:wrapSquare wrapText="bothSides" distT="0" distB="0" distL="114300" distR="114300"/>
          <wp:docPr id="12387757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314575" cy="9613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D1C"/>
    <w:multiLevelType w:val="hybridMultilevel"/>
    <w:tmpl w:val="42B82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B1FF1"/>
    <w:multiLevelType w:val="hybridMultilevel"/>
    <w:tmpl w:val="2384E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532FE2"/>
    <w:multiLevelType w:val="hybridMultilevel"/>
    <w:tmpl w:val="7AD019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BC2EC1"/>
    <w:multiLevelType w:val="multilevel"/>
    <w:tmpl w:val="CD0013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A033A0A"/>
    <w:multiLevelType w:val="hybridMultilevel"/>
    <w:tmpl w:val="A01006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11982F11"/>
    <w:multiLevelType w:val="hybridMultilevel"/>
    <w:tmpl w:val="CEE0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D3F10"/>
    <w:multiLevelType w:val="hybridMultilevel"/>
    <w:tmpl w:val="A95EE6C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19015FDB"/>
    <w:multiLevelType w:val="multilevel"/>
    <w:tmpl w:val="B5BC6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DC2187"/>
    <w:multiLevelType w:val="hybridMultilevel"/>
    <w:tmpl w:val="0DC8304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26460A65"/>
    <w:multiLevelType w:val="multilevel"/>
    <w:tmpl w:val="EA3C93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64613C6"/>
    <w:multiLevelType w:val="hybridMultilevel"/>
    <w:tmpl w:val="6EAC547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9124A76"/>
    <w:multiLevelType w:val="hybridMultilevel"/>
    <w:tmpl w:val="AB7A01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2D57295D"/>
    <w:multiLevelType w:val="hybridMultilevel"/>
    <w:tmpl w:val="0A46A1B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2EE53ED9"/>
    <w:multiLevelType w:val="hybridMultilevel"/>
    <w:tmpl w:val="8C261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6527D8"/>
    <w:multiLevelType w:val="hybridMultilevel"/>
    <w:tmpl w:val="78663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F1366E"/>
    <w:multiLevelType w:val="hybridMultilevel"/>
    <w:tmpl w:val="B2EA669C"/>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DA0D38"/>
    <w:multiLevelType w:val="hybridMultilevel"/>
    <w:tmpl w:val="3904D9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38C76FE5"/>
    <w:multiLevelType w:val="hybridMultilevel"/>
    <w:tmpl w:val="E7AEB4C8"/>
    <w:lvl w:ilvl="0" w:tplc="04090001">
      <w:start w:val="1"/>
      <w:numFmt w:val="bullet"/>
      <w:lvlText w:val=""/>
      <w:lvlJc w:val="left"/>
      <w:pPr>
        <w:ind w:left="360" w:hanging="360"/>
      </w:pPr>
      <w:rPr>
        <w:rFonts w:ascii="Symbol" w:hAnsi="Symbol" w:hint="default"/>
      </w:rPr>
    </w:lvl>
    <w:lvl w:ilvl="1" w:tplc="D3E814E8">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F6676D"/>
    <w:multiLevelType w:val="hybridMultilevel"/>
    <w:tmpl w:val="E13441C6"/>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B656140"/>
    <w:multiLevelType w:val="hybridMultilevel"/>
    <w:tmpl w:val="61DEED9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15:restartNumberingAfterBreak="0">
    <w:nsid w:val="3C7C32EA"/>
    <w:multiLevelType w:val="multilevel"/>
    <w:tmpl w:val="DD54A492"/>
    <w:lvl w:ilvl="0">
      <w:start w:val="1"/>
      <w:numFmt w:val="bullet"/>
      <w:lvlText w:val="●"/>
      <w:lvlJc w:val="left"/>
      <w:pPr>
        <w:ind w:left="437" w:hanging="360"/>
      </w:pPr>
      <w:rPr>
        <w:rFonts w:ascii="Noto Sans Symbols" w:eastAsia="Noto Sans Symbols" w:hAnsi="Noto Sans Symbols" w:cs="Noto Sans Symbols"/>
      </w:rPr>
    </w:lvl>
    <w:lvl w:ilvl="1">
      <w:start w:val="5"/>
      <w:numFmt w:val="bullet"/>
      <w:lvlText w:val="-"/>
      <w:lvlJc w:val="left"/>
      <w:pPr>
        <w:ind w:left="1157" w:hanging="360"/>
      </w:pPr>
      <w:rPr>
        <w:rFonts w:ascii="Aptos" w:eastAsia="Aptos" w:hAnsi="Aptos" w:cs="Aptos"/>
      </w:r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21" w15:restartNumberingAfterBreak="0">
    <w:nsid w:val="3F462C54"/>
    <w:multiLevelType w:val="hybridMultilevel"/>
    <w:tmpl w:val="A88A4FF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46D51562"/>
    <w:multiLevelType w:val="multilevel"/>
    <w:tmpl w:val="F4A62088"/>
    <w:lvl w:ilvl="0">
      <w:start w:val="1"/>
      <w:numFmt w:val="decimal"/>
      <w:lvlText w:val="%1."/>
      <w:lvlJc w:val="left"/>
      <w:pPr>
        <w:ind w:left="360" w:hanging="360"/>
      </w:pPr>
      <w:rPr>
        <w:strike w:val="0"/>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3" w15:restartNumberingAfterBreak="0">
    <w:nsid w:val="4A612CB7"/>
    <w:multiLevelType w:val="hybridMultilevel"/>
    <w:tmpl w:val="4BCC5024"/>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AE27317"/>
    <w:multiLevelType w:val="multilevel"/>
    <w:tmpl w:val="29421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7069FA"/>
    <w:multiLevelType w:val="multilevel"/>
    <w:tmpl w:val="BBB478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F2F7EEB"/>
    <w:multiLevelType w:val="hybridMultilevel"/>
    <w:tmpl w:val="A3CC6A6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52955A0D"/>
    <w:multiLevelType w:val="hybridMultilevel"/>
    <w:tmpl w:val="F4F60382"/>
    <w:lvl w:ilvl="0" w:tplc="FFFFFFFF">
      <w:start w:val="1"/>
      <w:numFmt w:val="bullet"/>
      <w:lvlText w:val=""/>
      <w:lvlJc w:val="left"/>
      <w:pPr>
        <w:ind w:left="360" w:hanging="360"/>
      </w:pPr>
      <w:rPr>
        <w:rFonts w:ascii="Symbol" w:hAnsi="Symbol" w:hint="default"/>
      </w:rPr>
    </w:lvl>
    <w:lvl w:ilvl="1" w:tplc="9AFC1F1E">
      <w:start w:val="12"/>
      <w:numFmt w:val="bullet"/>
      <w:lvlText w:val="-"/>
      <w:lvlJc w:val="left"/>
      <w:pPr>
        <w:ind w:left="1080" w:hanging="360"/>
      </w:pPr>
      <w:rPr>
        <w:rFonts w:ascii="Calibri" w:eastAsia="Times New Roman" w:hAnsi="Calibri" w:cs="Calibri" w:hint="default"/>
        <w:color w:val="00000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5ED67532"/>
    <w:multiLevelType w:val="hybridMultilevel"/>
    <w:tmpl w:val="3FCE539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645C5A58"/>
    <w:multiLevelType w:val="hybridMultilevel"/>
    <w:tmpl w:val="76D40ED6"/>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D60EAF"/>
    <w:multiLevelType w:val="hybridMultilevel"/>
    <w:tmpl w:val="E1A65BB0"/>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60E78E8"/>
    <w:multiLevelType w:val="hybridMultilevel"/>
    <w:tmpl w:val="6AB65F6A"/>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9390D15"/>
    <w:multiLevelType w:val="hybridMultilevel"/>
    <w:tmpl w:val="14A444B0"/>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A6559B"/>
    <w:multiLevelType w:val="hybridMultilevel"/>
    <w:tmpl w:val="C50290D2"/>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8949E6"/>
    <w:multiLevelType w:val="multilevel"/>
    <w:tmpl w:val="A672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FF0FD4"/>
    <w:multiLevelType w:val="hybridMultilevel"/>
    <w:tmpl w:val="F50C86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6" w15:restartNumberingAfterBreak="0">
    <w:nsid w:val="7E961B00"/>
    <w:multiLevelType w:val="multilevel"/>
    <w:tmpl w:val="FBC09858"/>
    <w:lvl w:ilvl="0">
      <w:start w:val="1"/>
      <w:numFmt w:val="bullet"/>
      <w:lvlText w:val="●"/>
      <w:lvlJc w:val="left"/>
      <w:pPr>
        <w:ind w:left="437" w:hanging="360"/>
      </w:pPr>
      <w:rPr>
        <w:rFonts w:ascii="Noto Sans Symbols" w:eastAsia="Noto Sans Symbols" w:hAnsi="Noto Sans Symbols" w:cs="Noto Sans Symbols"/>
      </w:rPr>
    </w:lvl>
    <w:lvl w:ilvl="1">
      <w:start w:val="5"/>
      <w:numFmt w:val="bullet"/>
      <w:lvlText w:val="-"/>
      <w:lvlJc w:val="left"/>
      <w:pPr>
        <w:ind w:left="1157" w:hanging="360"/>
      </w:pPr>
      <w:rPr>
        <w:rFonts w:ascii="Aptos" w:eastAsia="Aptos" w:hAnsi="Aptos" w:cs="Aptos"/>
      </w:r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num w:numId="1" w16cid:durableId="1288390876">
    <w:abstractNumId w:val="22"/>
  </w:num>
  <w:num w:numId="2" w16cid:durableId="1168253310">
    <w:abstractNumId w:val="36"/>
  </w:num>
  <w:num w:numId="3" w16cid:durableId="687102535">
    <w:abstractNumId w:val="9"/>
  </w:num>
  <w:num w:numId="4" w16cid:durableId="606154616">
    <w:abstractNumId w:val="3"/>
  </w:num>
  <w:num w:numId="5" w16cid:durableId="1216235297">
    <w:abstractNumId w:val="2"/>
  </w:num>
  <w:num w:numId="6" w16cid:durableId="1305429189">
    <w:abstractNumId w:val="20"/>
  </w:num>
  <w:num w:numId="7" w16cid:durableId="304967683">
    <w:abstractNumId w:val="24"/>
  </w:num>
  <w:num w:numId="8" w16cid:durableId="20008900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174697">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1742556">
    <w:abstractNumId w:val="35"/>
  </w:num>
  <w:num w:numId="11" w16cid:durableId="1991058882">
    <w:abstractNumId w:val="10"/>
  </w:num>
  <w:num w:numId="12" w16cid:durableId="1076588669">
    <w:abstractNumId w:val="11"/>
  </w:num>
  <w:num w:numId="13" w16cid:durableId="477233563">
    <w:abstractNumId w:val="21"/>
  </w:num>
  <w:num w:numId="14" w16cid:durableId="788940625">
    <w:abstractNumId w:val="12"/>
  </w:num>
  <w:num w:numId="15" w16cid:durableId="1894079877">
    <w:abstractNumId w:val="16"/>
  </w:num>
  <w:num w:numId="16" w16cid:durableId="910967770">
    <w:abstractNumId w:val="4"/>
  </w:num>
  <w:num w:numId="17" w16cid:durableId="1860923551">
    <w:abstractNumId w:val="26"/>
  </w:num>
  <w:num w:numId="18" w16cid:durableId="1123307504">
    <w:abstractNumId w:val="6"/>
  </w:num>
  <w:num w:numId="19" w16cid:durableId="1715422548">
    <w:abstractNumId w:val="27"/>
  </w:num>
  <w:num w:numId="20" w16cid:durableId="1308123641">
    <w:abstractNumId w:val="30"/>
  </w:num>
  <w:num w:numId="21" w16cid:durableId="630793848">
    <w:abstractNumId w:val="25"/>
  </w:num>
  <w:num w:numId="22" w16cid:durableId="1764447559">
    <w:abstractNumId w:val="23"/>
  </w:num>
  <w:num w:numId="23" w16cid:durableId="1679962985">
    <w:abstractNumId w:val="33"/>
  </w:num>
  <w:num w:numId="24" w16cid:durableId="2092963740">
    <w:abstractNumId w:val="31"/>
  </w:num>
  <w:num w:numId="25" w16cid:durableId="1174371944">
    <w:abstractNumId w:val="18"/>
  </w:num>
  <w:num w:numId="26" w16cid:durableId="117529458">
    <w:abstractNumId w:val="32"/>
  </w:num>
  <w:num w:numId="27" w16cid:durableId="517305891">
    <w:abstractNumId w:val="29"/>
  </w:num>
  <w:num w:numId="28" w16cid:durableId="153693191">
    <w:abstractNumId w:val="34"/>
  </w:num>
  <w:num w:numId="29" w16cid:durableId="1476409371">
    <w:abstractNumId w:val="15"/>
  </w:num>
  <w:num w:numId="30" w16cid:durableId="552351812">
    <w:abstractNumId w:val="19"/>
  </w:num>
  <w:num w:numId="31" w16cid:durableId="2139453305">
    <w:abstractNumId w:val="8"/>
  </w:num>
  <w:num w:numId="32" w16cid:durableId="1568416843">
    <w:abstractNumId w:val="0"/>
  </w:num>
  <w:num w:numId="33" w16cid:durableId="60492297">
    <w:abstractNumId w:val="13"/>
  </w:num>
  <w:num w:numId="34" w16cid:durableId="1000235396">
    <w:abstractNumId w:val="17"/>
  </w:num>
  <w:num w:numId="35" w16cid:durableId="388504906">
    <w:abstractNumId w:val="5"/>
  </w:num>
  <w:num w:numId="36" w16cid:durableId="1890148154">
    <w:abstractNumId w:val="1"/>
  </w:num>
  <w:num w:numId="37" w16cid:durableId="208544476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5B"/>
    <w:rsid w:val="00006473"/>
    <w:rsid w:val="00023F6E"/>
    <w:rsid w:val="00096D57"/>
    <w:rsid w:val="000B4716"/>
    <w:rsid w:val="0010364F"/>
    <w:rsid w:val="00112158"/>
    <w:rsid w:val="00157459"/>
    <w:rsid w:val="00195029"/>
    <w:rsid w:val="001E0DAC"/>
    <w:rsid w:val="002230B9"/>
    <w:rsid w:val="002743B6"/>
    <w:rsid w:val="00290D3A"/>
    <w:rsid w:val="002A4E42"/>
    <w:rsid w:val="002B43D4"/>
    <w:rsid w:val="002E3642"/>
    <w:rsid w:val="00332BA4"/>
    <w:rsid w:val="00346C40"/>
    <w:rsid w:val="0036118F"/>
    <w:rsid w:val="003A0E63"/>
    <w:rsid w:val="003B495C"/>
    <w:rsid w:val="003C00ED"/>
    <w:rsid w:val="003C1D4A"/>
    <w:rsid w:val="003D49C7"/>
    <w:rsid w:val="003E22CE"/>
    <w:rsid w:val="003E2677"/>
    <w:rsid w:val="003F302C"/>
    <w:rsid w:val="004070DB"/>
    <w:rsid w:val="00407202"/>
    <w:rsid w:val="0044253C"/>
    <w:rsid w:val="0044605B"/>
    <w:rsid w:val="004742E7"/>
    <w:rsid w:val="00476083"/>
    <w:rsid w:val="00491DA8"/>
    <w:rsid w:val="00493829"/>
    <w:rsid w:val="004B330C"/>
    <w:rsid w:val="004B6A9E"/>
    <w:rsid w:val="004C1436"/>
    <w:rsid w:val="004D4403"/>
    <w:rsid w:val="004D7382"/>
    <w:rsid w:val="00560722"/>
    <w:rsid w:val="00581C71"/>
    <w:rsid w:val="005D36DA"/>
    <w:rsid w:val="005D3FFD"/>
    <w:rsid w:val="005E50E0"/>
    <w:rsid w:val="0062019F"/>
    <w:rsid w:val="00626E5F"/>
    <w:rsid w:val="006454DA"/>
    <w:rsid w:val="0064642F"/>
    <w:rsid w:val="00662846"/>
    <w:rsid w:val="00692760"/>
    <w:rsid w:val="00695640"/>
    <w:rsid w:val="006A6AC6"/>
    <w:rsid w:val="006A6C47"/>
    <w:rsid w:val="006D749C"/>
    <w:rsid w:val="006E56F9"/>
    <w:rsid w:val="00707384"/>
    <w:rsid w:val="00732A98"/>
    <w:rsid w:val="00741C84"/>
    <w:rsid w:val="00750711"/>
    <w:rsid w:val="0078072C"/>
    <w:rsid w:val="00787A1F"/>
    <w:rsid w:val="007D708C"/>
    <w:rsid w:val="008814A1"/>
    <w:rsid w:val="008E0FD8"/>
    <w:rsid w:val="008E1BED"/>
    <w:rsid w:val="008E4657"/>
    <w:rsid w:val="009029DD"/>
    <w:rsid w:val="00912B1E"/>
    <w:rsid w:val="00915563"/>
    <w:rsid w:val="00936AF0"/>
    <w:rsid w:val="009630C5"/>
    <w:rsid w:val="00980016"/>
    <w:rsid w:val="00987E26"/>
    <w:rsid w:val="009E6C8E"/>
    <w:rsid w:val="00A75971"/>
    <w:rsid w:val="00A942E0"/>
    <w:rsid w:val="00AE4A4B"/>
    <w:rsid w:val="00B02098"/>
    <w:rsid w:val="00B66A9A"/>
    <w:rsid w:val="00B67BD6"/>
    <w:rsid w:val="00B823EC"/>
    <w:rsid w:val="00B85642"/>
    <w:rsid w:val="00BB192D"/>
    <w:rsid w:val="00C14817"/>
    <w:rsid w:val="00C6151D"/>
    <w:rsid w:val="00C845ED"/>
    <w:rsid w:val="00CA4E25"/>
    <w:rsid w:val="00CE6F22"/>
    <w:rsid w:val="00D0136C"/>
    <w:rsid w:val="00D221B1"/>
    <w:rsid w:val="00D33AD4"/>
    <w:rsid w:val="00D474F1"/>
    <w:rsid w:val="00D579D6"/>
    <w:rsid w:val="00D66CA1"/>
    <w:rsid w:val="00D829B1"/>
    <w:rsid w:val="00DD53B9"/>
    <w:rsid w:val="00DE25AA"/>
    <w:rsid w:val="00E00BA0"/>
    <w:rsid w:val="00E11B75"/>
    <w:rsid w:val="00E129E4"/>
    <w:rsid w:val="00E23BD6"/>
    <w:rsid w:val="00E84A02"/>
    <w:rsid w:val="00EA06AD"/>
    <w:rsid w:val="00EA3AFF"/>
    <w:rsid w:val="00EB6ED9"/>
    <w:rsid w:val="00F14BEC"/>
    <w:rsid w:val="00F22073"/>
    <w:rsid w:val="00F37323"/>
    <w:rsid w:val="00F47E12"/>
    <w:rsid w:val="00F6182C"/>
    <w:rsid w:val="00F623A2"/>
    <w:rsid w:val="00F7760B"/>
    <w:rsid w:val="00FC2F9A"/>
    <w:rsid w:val="00FC580F"/>
    <w:rsid w:val="00FD4ED9"/>
    <w:rsid w:val="00FD7BD2"/>
    <w:rsid w:val="00FE23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80527"/>
  <w15:docId w15:val="{04507690-0CA8-4C12-878F-166A7463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7323"/>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unhideWhenUsed/>
    <w:qFormat/>
    <w:rsid w:val="004D4403"/>
    <w:pPr>
      <w:keepNext/>
      <w:keepLines/>
      <w:spacing w:before="160" w:after="80"/>
      <w:outlineLvl w:val="1"/>
    </w:pPr>
    <w:rPr>
      <w:rFonts w:ascii="Calibri" w:eastAsia="Play" w:hAnsi="Calibri"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outlineLvl w:val="5"/>
    </w:pPr>
    <w:rPr>
      <w:i/>
      <w:color w:val="595959"/>
    </w:rPr>
  </w:style>
  <w:style w:type="paragraph" w:styleId="Nagwek7">
    <w:name w:val="heading 7"/>
    <w:link w:val="Nagwek7Znak"/>
    <w:uiPriority w:val="9"/>
    <w:semiHidden/>
    <w:unhideWhenUsed/>
    <w:qFormat/>
    <w:rsid w:val="00E61B3A"/>
    <w:pPr>
      <w:keepNext/>
      <w:keepLines/>
      <w:spacing w:before="4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00E61B3A"/>
    <w:pPr>
      <w:keepNext/>
      <w:keepLines/>
      <w:outlineLvl w:val="7"/>
    </w:pPr>
    <w:rPr>
      <w:rFonts w:eastAsiaTheme="majorEastAsia" w:cstheme="majorBidi"/>
      <w:i/>
      <w:iCs/>
      <w:color w:val="272727" w:themeColor="text1" w:themeTint="D8"/>
    </w:rPr>
  </w:style>
  <w:style w:type="paragraph" w:styleId="Nagwek9">
    <w:name w:val="heading 9"/>
    <w:link w:val="Nagwek9Znak"/>
    <w:uiPriority w:val="9"/>
    <w:semiHidden/>
    <w:unhideWhenUsed/>
    <w:qFormat/>
    <w:rsid w:val="00E61B3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spacing w:after="80"/>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Nagwek1Znak">
    <w:name w:val="Nagłówek 1 Znak"/>
    <w:basedOn w:val="Domylnaczcionkaakapitu"/>
    <w:uiPriority w:val="9"/>
    <w:rsid w:val="00E61B3A"/>
    <w:rPr>
      <w:rFonts w:asciiTheme="majorHAnsi" w:eastAsiaTheme="majorEastAsia" w:hAnsiTheme="majorHAnsi" w:cstheme="majorBidi"/>
      <w:color w:val="0F4761" w:themeColor="accent1" w:themeShade="BF"/>
      <w:sz w:val="40"/>
      <w:szCs w:val="40"/>
      <w:lang w:val="pl-PL"/>
    </w:rPr>
  </w:style>
  <w:style w:type="character" w:customStyle="1" w:styleId="Nagwek2Znak">
    <w:name w:val="Nagłówek 2 Znak"/>
    <w:basedOn w:val="Domylnaczcionkaakapitu"/>
    <w:uiPriority w:val="9"/>
    <w:rsid w:val="00E61B3A"/>
    <w:rPr>
      <w:rFonts w:asciiTheme="majorHAnsi" w:eastAsiaTheme="majorEastAsia" w:hAnsiTheme="majorHAnsi" w:cstheme="majorBidi"/>
      <w:color w:val="0F4761" w:themeColor="accent1" w:themeShade="BF"/>
      <w:sz w:val="32"/>
      <w:szCs w:val="32"/>
      <w:lang w:val="pl-PL"/>
    </w:rPr>
  </w:style>
  <w:style w:type="character" w:customStyle="1" w:styleId="Nagwek3Znak">
    <w:name w:val="Nagłówek 3 Znak"/>
    <w:basedOn w:val="Domylnaczcionkaakapitu"/>
    <w:uiPriority w:val="9"/>
    <w:semiHidden/>
    <w:rsid w:val="00E61B3A"/>
    <w:rPr>
      <w:rFonts w:eastAsiaTheme="majorEastAsia" w:cstheme="majorBidi"/>
      <w:color w:val="0F4761" w:themeColor="accent1" w:themeShade="BF"/>
      <w:sz w:val="28"/>
      <w:szCs w:val="28"/>
      <w:lang w:val="pl-PL"/>
    </w:rPr>
  </w:style>
  <w:style w:type="character" w:customStyle="1" w:styleId="Nagwek4Znak">
    <w:name w:val="Nagłówek 4 Znak"/>
    <w:basedOn w:val="Domylnaczcionkaakapitu"/>
    <w:uiPriority w:val="9"/>
    <w:semiHidden/>
    <w:rsid w:val="00E61B3A"/>
    <w:rPr>
      <w:rFonts w:eastAsiaTheme="majorEastAsia" w:cstheme="majorBidi"/>
      <w:i/>
      <w:iCs/>
      <w:color w:val="0F4761" w:themeColor="accent1" w:themeShade="BF"/>
      <w:lang w:val="pl-PL"/>
    </w:rPr>
  </w:style>
  <w:style w:type="character" w:customStyle="1" w:styleId="Nagwek5Znak">
    <w:name w:val="Nagłówek 5 Znak"/>
    <w:basedOn w:val="Domylnaczcionkaakapitu"/>
    <w:uiPriority w:val="9"/>
    <w:semiHidden/>
    <w:rsid w:val="00E61B3A"/>
    <w:rPr>
      <w:rFonts w:eastAsiaTheme="majorEastAsia" w:cstheme="majorBidi"/>
      <w:color w:val="0F4761" w:themeColor="accent1" w:themeShade="BF"/>
      <w:lang w:val="pl-PL"/>
    </w:rPr>
  </w:style>
  <w:style w:type="character" w:customStyle="1" w:styleId="Nagwek6Znak">
    <w:name w:val="Nagłówek 6 Znak"/>
    <w:basedOn w:val="Domylnaczcionkaakapitu"/>
    <w:uiPriority w:val="9"/>
    <w:semiHidden/>
    <w:rsid w:val="00E61B3A"/>
    <w:rPr>
      <w:rFonts w:eastAsiaTheme="majorEastAsia" w:cstheme="majorBidi"/>
      <w:i/>
      <w:iCs/>
      <w:color w:val="595959" w:themeColor="text1" w:themeTint="A6"/>
      <w:lang w:val="pl-PL"/>
    </w:rPr>
  </w:style>
  <w:style w:type="character" w:customStyle="1" w:styleId="Nagwek7Znak">
    <w:name w:val="Nagłówek 7 Znak"/>
    <w:basedOn w:val="Domylnaczcionkaakapitu"/>
    <w:link w:val="Nagwek7"/>
    <w:uiPriority w:val="9"/>
    <w:semiHidden/>
    <w:rsid w:val="00E61B3A"/>
    <w:rPr>
      <w:rFonts w:eastAsiaTheme="majorEastAsia" w:cstheme="majorBidi"/>
      <w:color w:val="595959" w:themeColor="text1" w:themeTint="A6"/>
      <w:lang w:val="pl-PL"/>
    </w:rPr>
  </w:style>
  <w:style w:type="character" w:customStyle="1" w:styleId="Nagwek8Znak">
    <w:name w:val="Nagłówek 8 Znak"/>
    <w:basedOn w:val="Domylnaczcionkaakapitu"/>
    <w:link w:val="Nagwek8"/>
    <w:uiPriority w:val="9"/>
    <w:semiHidden/>
    <w:rsid w:val="00E61B3A"/>
    <w:rPr>
      <w:rFonts w:eastAsiaTheme="majorEastAsia" w:cstheme="majorBidi"/>
      <w:i/>
      <w:iCs/>
      <w:color w:val="272727" w:themeColor="text1" w:themeTint="D8"/>
      <w:lang w:val="pl-PL"/>
    </w:rPr>
  </w:style>
  <w:style w:type="character" w:customStyle="1" w:styleId="Nagwek9Znak">
    <w:name w:val="Nagłówek 9 Znak"/>
    <w:basedOn w:val="Domylnaczcionkaakapitu"/>
    <w:link w:val="Nagwek9"/>
    <w:uiPriority w:val="9"/>
    <w:semiHidden/>
    <w:rsid w:val="00E61B3A"/>
    <w:rPr>
      <w:rFonts w:eastAsiaTheme="majorEastAsia" w:cstheme="majorBidi"/>
      <w:color w:val="272727" w:themeColor="text1" w:themeTint="D8"/>
      <w:lang w:val="pl-PL"/>
    </w:rPr>
  </w:style>
  <w:style w:type="character" w:customStyle="1" w:styleId="TytuZnak">
    <w:name w:val="Tytuł Znak"/>
    <w:basedOn w:val="Domylnaczcionkaakapitu"/>
    <w:uiPriority w:val="10"/>
    <w:rsid w:val="00E61B3A"/>
    <w:rPr>
      <w:rFonts w:asciiTheme="majorHAnsi" w:eastAsiaTheme="majorEastAsia" w:hAnsiTheme="majorHAnsi" w:cstheme="majorBidi"/>
      <w:spacing w:val="-10"/>
      <w:kern w:val="28"/>
      <w:sz w:val="56"/>
      <w:szCs w:val="56"/>
      <w:lang w:val="pl-PL"/>
    </w:rPr>
  </w:style>
  <w:style w:type="character" w:customStyle="1" w:styleId="PodtytuZnak">
    <w:name w:val="Podtytuł Znak"/>
    <w:basedOn w:val="Domylnaczcionkaakapitu"/>
    <w:uiPriority w:val="11"/>
    <w:rsid w:val="00E61B3A"/>
    <w:rPr>
      <w:rFonts w:eastAsiaTheme="majorEastAsia" w:cstheme="majorBidi"/>
      <w:color w:val="595959" w:themeColor="text1" w:themeTint="A6"/>
      <w:spacing w:val="15"/>
      <w:sz w:val="28"/>
      <w:szCs w:val="28"/>
      <w:lang w:val="pl-PL"/>
    </w:rPr>
  </w:style>
  <w:style w:type="paragraph" w:styleId="Cytat">
    <w:name w:val="Quote"/>
    <w:link w:val="CytatZnak"/>
    <w:uiPriority w:val="29"/>
    <w:qFormat/>
    <w:rsid w:val="00E61B3A"/>
    <w:pPr>
      <w:spacing w:before="160"/>
      <w:jc w:val="center"/>
    </w:pPr>
    <w:rPr>
      <w:i/>
      <w:iCs/>
      <w:color w:val="404040" w:themeColor="text1" w:themeTint="BF"/>
    </w:rPr>
  </w:style>
  <w:style w:type="character" w:customStyle="1" w:styleId="CytatZnak">
    <w:name w:val="Cytat Znak"/>
    <w:basedOn w:val="Domylnaczcionkaakapitu"/>
    <w:link w:val="Cytat"/>
    <w:uiPriority w:val="29"/>
    <w:rsid w:val="00E61B3A"/>
    <w:rPr>
      <w:i/>
      <w:iCs/>
      <w:color w:val="404040" w:themeColor="text1" w:themeTint="BF"/>
      <w:lang w:val="pl-PL"/>
    </w:rPr>
  </w:style>
  <w:style w:type="paragraph" w:styleId="Akapitzlist">
    <w:name w:val="List Paragraph"/>
    <w:link w:val="AkapitzlistZnak"/>
    <w:uiPriority w:val="34"/>
    <w:qFormat/>
    <w:rsid w:val="00E61B3A"/>
    <w:pPr>
      <w:ind w:left="720"/>
      <w:contextualSpacing/>
    </w:pPr>
  </w:style>
  <w:style w:type="character" w:styleId="Wyrnienieintensywne">
    <w:name w:val="Intense Emphasis"/>
    <w:basedOn w:val="Domylnaczcionkaakapitu"/>
    <w:uiPriority w:val="21"/>
    <w:qFormat/>
    <w:rsid w:val="00E61B3A"/>
    <w:rPr>
      <w:i/>
      <w:iCs/>
      <w:color w:val="0F4761" w:themeColor="accent1" w:themeShade="BF"/>
    </w:rPr>
  </w:style>
  <w:style w:type="paragraph" w:styleId="Cytatintensywny">
    <w:name w:val="Intense Quote"/>
    <w:link w:val="CytatintensywnyZnak"/>
    <w:uiPriority w:val="30"/>
    <w:qFormat/>
    <w:rsid w:val="00E61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61B3A"/>
    <w:rPr>
      <w:i/>
      <w:iCs/>
      <w:color w:val="0F4761" w:themeColor="accent1" w:themeShade="BF"/>
      <w:lang w:val="pl-PL"/>
    </w:rPr>
  </w:style>
  <w:style w:type="character" w:styleId="Odwoanieintensywne">
    <w:name w:val="Intense Reference"/>
    <w:basedOn w:val="Domylnaczcionkaakapitu"/>
    <w:uiPriority w:val="32"/>
    <w:qFormat/>
    <w:rsid w:val="00E61B3A"/>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E61B3A"/>
    <w:rPr>
      <w:sz w:val="16"/>
      <w:szCs w:val="16"/>
    </w:rPr>
  </w:style>
  <w:style w:type="paragraph" w:styleId="Tekstkomentarza">
    <w:name w:val="annotation text"/>
    <w:link w:val="TekstkomentarzaZnak"/>
    <w:uiPriority w:val="99"/>
    <w:unhideWhenUsed/>
    <w:rsid w:val="00E61B3A"/>
    <w:rPr>
      <w:sz w:val="20"/>
      <w:szCs w:val="20"/>
    </w:rPr>
  </w:style>
  <w:style w:type="character" w:customStyle="1" w:styleId="TekstkomentarzaZnak">
    <w:name w:val="Tekst komentarza Znak"/>
    <w:basedOn w:val="Domylnaczcionkaakapitu"/>
    <w:link w:val="Tekstkomentarza"/>
    <w:uiPriority w:val="99"/>
    <w:rsid w:val="00E61B3A"/>
    <w:rPr>
      <w:rFonts w:ascii="Calibri" w:eastAsia="Calibri" w:hAnsi="Calibri" w:cs="Calibri"/>
      <w:kern w:val="0"/>
      <w:sz w:val="20"/>
      <w:szCs w:val="20"/>
      <w:lang w:val="pl-PL"/>
    </w:rPr>
  </w:style>
  <w:style w:type="table" w:styleId="Tabela-Siatka">
    <w:name w:val="Table Grid"/>
    <w:basedOn w:val="Standardowy"/>
    <w:uiPriority w:val="39"/>
    <w:rsid w:val="00E6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link w:val="TekstpodstawowyZnak"/>
    <w:semiHidden/>
    <w:rsid w:val="00E61B3A"/>
    <w:rPr>
      <w:rFonts w:eastAsia="Lucida Sans Unicode" w:cs="Mangal"/>
      <w:kern w:val="1"/>
      <w:lang w:eastAsia="hi-IN" w:bidi="hi-IN"/>
    </w:rPr>
  </w:style>
  <w:style w:type="character" w:customStyle="1" w:styleId="TekstpodstawowyZnak">
    <w:name w:val="Tekst podstawowy Znak"/>
    <w:basedOn w:val="Domylnaczcionkaakapitu"/>
    <w:link w:val="Tekstpodstawowy"/>
    <w:semiHidden/>
    <w:rsid w:val="00E61B3A"/>
    <w:rPr>
      <w:rFonts w:ascii="Times New Roman" w:eastAsia="Lucida Sans Unicode" w:hAnsi="Times New Roman" w:cs="Mangal"/>
      <w:kern w:val="1"/>
      <w:lang w:val="pl-PL" w:eastAsia="hi-IN" w:bidi="hi-IN"/>
    </w:rPr>
  </w:style>
  <w:style w:type="paragraph" w:styleId="Nagwekspisutreci">
    <w:name w:val="TOC Heading"/>
    <w:uiPriority w:val="39"/>
    <w:unhideWhenUsed/>
    <w:qFormat/>
    <w:rsid w:val="00E61B3A"/>
    <w:pPr>
      <w:spacing w:before="240"/>
    </w:pPr>
    <w:rPr>
      <w:sz w:val="32"/>
      <w:szCs w:val="32"/>
      <w:lang w:val="en-US"/>
    </w:rPr>
  </w:style>
  <w:style w:type="paragraph" w:styleId="Spistreci2">
    <w:name w:val="toc 2"/>
    <w:autoRedefine/>
    <w:uiPriority w:val="39"/>
    <w:unhideWhenUsed/>
    <w:rsid w:val="00E61B3A"/>
    <w:pPr>
      <w:spacing w:after="100"/>
      <w:ind w:left="220"/>
    </w:pPr>
  </w:style>
  <w:style w:type="character" w:styleId="Hipercze">
    <w:name w:val="Hyperlink"/>
    <w:basedOn w:val="Domylnaczcionkaakapitu"/>
    <w:uiPriority w:val="99"/>
    <w:unhideWhenUsed/>
    <w:rsid w:val="00E61B3A"/>
    <w:rPr>
      <w:color w:val="467886" w:themeColor="hyperlink"/>
      <w:u w:val="single"/>
    </w:rPr>
  </w:style>
  <w:style w:type="paragraph" w:styleId="Tematkomentarza">
    <w:name w:val="annotation subject"/>
    <w:basedOn w:val="Tekstkomentarza"/>
    <w:next w:val="Tekstkomentarza"/>
    <w:link w:val="TematkomentarzaZnak"/>
    <w:uiPriority w:val="99"/>
    <w:semiHidden/>
    <w:unhideWhenUsed/>
    <w:rsid w:val="00E61B3A"/>
    <w:rPr>
      <w:b/>
      <w:bCs/>
    </w:rPr>
  </w:style>
  <w:style w:type="character" w:customStyle="1" w:styleId="TematkomentarzaZnak">
    <w:name w:val="Temat komentarza Znak"/>
    <w:basedOn w:val="TekstkomentarzaZnak"/>
    <w:link w:val="Tematkomentarza"/>
    <w:uiPriority w:val="99"/>
    <w:semiHidden/>
    <w:rsid w:val="00E61B3A"/>
    <w:rPr>
      <w:rFonts w:ascii="Calibri" w:eastAsia="Calibri" w:hAnsi="Calibri" w:cs="Calibri"/>
      <w:b/>
      <w:bCs/>
      <w:kern w:val="0"/>
      <w:sz w:val="20"/>
      <w:szCs w:val="20"/>
      <w:lang w:val="pl-PL"/>
    </w:rPr>
  </w:style>
  <w:style w:type="paragraph" w:styleId="Nagwek">
    <w:name w:val="header"/>
    <w:link w:val="NagwekZnak"/>
    <w:uiPriority w:val="99"/>
    <w:unhideWhenUsed/>
    <w:rsid w:val="001927AF"/>
    <w:pPr>
      <w:tabs>
        <w:tab w:val="center" w:pos="4680"/>
        <w:tab w:val="right" w:pos="9360"/>
      </w:tabs>
    </w:pPr>
  </w:style>
  <w:style w:type="character" w:customStyle="1" w:styleId="NagwekZnak">
    <w:name w:val="Nagłówek Znak"/>
    <w:basedOn w:val="Domylnaczcionkaakapitu"/>
    <w:link w:val="Nagwek"/>
    <w:uiPriority w:val="99"/>
    <w:rsid w:val="001927AF"/>
    <w:rPr>
      <w:rFonts w:ascii="Calibri" w:eastAsia="Calibri" w:hAnsi="Calibri" w:cs="Calibri"/>
      <w:kern w:val="0"/>
      <w:sz w:val="22"/>
      <w:szCs w:val="22"/>
      <w:lang w:val="pl-PL"/>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character" w:styleId="Nierozpoznanawzmianka">
    <w:name w:val="Unresolved Mention"/>
    <w:basedOn w:val="Domylnaczcionkaakapitu"/>
    <w:uiPriority w:val="99"/>
    <w:semiHidden/>
    <w:unhideWhenUsed/>
    <w:rsid w:val="00BE0AA4"/>
    <w:rPr>
      <w:color w:val="605E5C"/>
      <w:shd w:val="clear" w:color="auto" w:fill="E1DFDD"/>
    </w:rPr>
  </w:style>
  <w:style w:type="table" w:customStyle="1" w:styleId="ad">
    <w:basedOn w:val="TableNormal4"/>
    <w:tblPr>
      <w:tblStyleRowBandSize w:val="1"/>
      <w:tblStyleColBandSize w:val="1"/>
      <w:tblCellMar>
        <w:left w:w="115" w:type="dxa"/>
        <w:right w:w="115" w:type="dxa"/>
      </w:tblCellMar>
    </w:tblPr>
  </w:style>
  <w:style w:type="table" w:customStyle="1" w:styleId="ae">
    <w:basedOn w:val="TableNormal4"/>
    <w:tblPr>
      <w:tblStyleRowBandSize w:val="1"/>
      <w:tblStyleColBandSize w:val="1"/>
      <w:tblCellMar>
        <w:left w:w="115" w:type="dxa"/>
        <w:right w:w="115"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left w:w="108" w:type="dxa"/>
        <w:right w:w="10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15" w:type="dxa"/>
        <w:right w:w="115" w:type="dxa"/>
      </w:tblCellMar>
    </w:tblPr>
  </w:style>
  <w:style w:type="table" w:customStyle="1" w:styleId="afc">
    <w:basedOn w:val="TableNormal3"/>
    <w:tblPr>
      <w:tblStyleRowBandSize w:val="1"/>
      <w:tblStyleColBandSize w:val="1"/>
      <w:tblCellMar>
        <w:left w:w="115" w:type="dxa"/>
        <w:right w:w="115"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15" w:type="dxa"/>
        <w:right w:w="115" w:type="dxa"/>
      </w:tblCellMar>
    </w:tblPr>
  </w:style>
  <w:style w:type="table" w:customStyle="1" w:styleId="aff0">
    <w:basedOn w:val="TableNormal3"/>
    <w:tblPr>
      <w:tblStyleRowBandSize w:val="1"/>
      <w:tblStyleColBandSize w:val="1"/>
      <w:tblCellMar>
        <w:left w:w="115" w:type="dxa"/>
        <w:right w:w="115" w:type="dxa"/>
      </w:tblCellMar>
    </w:tblPr>
  </w:style>
  <w:style w:type="table" w:customStyle="1" w:styleId="aff1">
    <w:basedOn w:val="TableNormal3"/>
    <w:tblPr>
      <w:tblStyleRowBandSize w:val="1"/>
      <w:tblStyleColBandSize w:val="1"/>
      <w:tblCellMar>
        <w:left w:w="108" w:type="dxa"/>
        <w:right w:w="108" w:type="dxa"/>
      </w:tblCellMar>
    </w:tblPr>
  </w:style>
  <w:style w:type="table" w:customStyle="1" w:styleId="aff2">
    <w:basedOn w:val="TableNormal3"/>
    <w:tblPr>
      <w:tblStyleRowBandSize w:val="1"/>
      <w:tblStyleColBandSize w:val="1"/>
      <w:tblCellMar>
        <w:left w:w="115" w:type="dxa"/>
        <w:right w:w="115" w:type="dxa"/>
      </w:tblCellMar>
    </w:tblPr>
  </w:style>
  <w:style w:type="table" w:customStyle="1" w:styleId="aff3">
    <w:basedOn w:val="TableNormal3"/>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108" w:type="dxa"/>
        <w:right w:w="108"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left w:w="108" w:type="dxa"/>
        <w:right w:w="108" w:type="dxa"/>
      </w:tblCellMar>
    </w:tblPr>
  </w:style>
  <w:style w:type="table" w:customStyle="1" w:styleId="aff7">
    <w:basedOn w:val="TableNormal3"/>
    <w:tblPr>
      <w:tblStyleRowBandSize w:val="1"/>
      <w:tblStyleColBandSize w:val="1"/>
      <w:tblCellMar>
        <w:left w:w="108" w:type="dxa"/>
        <w:right w:w="108" w:type="dxa"/>
      </w:tblCellMar>
    </w:tblPr>
  </w:style>
  <w:style w:type="table" w:customStyle="1" w:styleId="aff8">
    <w:basedOn w:val="TableNormal3"/>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left w:w="108" w:type="dxa"/>
        <w:right w:w="108"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08" w:type="dxa"/>
        <w:right w:w="108" w:type="dxa"/>
      </w:tblCellMar>
    </w:tblPr>
  </w:style>
  <w:style w:type="table" w:customStyle="1" w:styleId="affd">
    <w:basedOn w:val="TableNormal2"/>
    <w:tblPr>
      <w:tblStyleRowBandSize w:val="1"/>
      <w:tblStyleColBandSize w:val="1"/>
      <w:tblCellMar>
        <w:left w:w="108" w:type="dxa"/>
        <w:right w:w="108"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08" w:type="dxa"/>
        <w:right w:w="108"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08" w:type="dxa"/>
        <w:right w:w="108" w:type="dxa"/>
      </w:tblCellMar>
    </w:tblPr>
  </w:style>
  <w:style w:type="table" w:customStyle="1" w:styleId="afff3">
    <w:basedOn w:val="TableNormal2"/>
    <w:tblPr>
      <w:tblStyleRowBandSize w:val="1"/>
      <w:tblStyleColBandSize w:val="1"/>
      <w:tblCellMar>
        <w:top w:w="100" w:type="dxa"/>
        <w:left w:w="100" w:type="dxa"/>
        <w:bottom w:w="100" w:type="dxa"/>
        <w:right w:w="100" w:type="dxa"/>
      </w:tblCellMar>
    </w:tbl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paragraph" w:styleId="Spistreci1">
    <w:name w:val="toc 1"/>
    <w:autoRedefine/>
    <w:uiPriority w:val="39"/>
    <w:unhideWhenUsed/>
    <w:rsid w:val="00F01D8F"/>
    <w:pPr>
      <w:spacing w:after="100"/>
    </w:p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08" w:type="dxa"/>
        <w:right w:w="108"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08" w:type="dxa"/>
        <w:right w:w="108"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left w:w="108" w:type="dxa"/>
        <w:right w:w="108" w:type="dxa"/>
      </w:tblCellMar>
    </w:tbl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paragraph" w:customStyle="1" w:styleId="Default">
    <w:name w:val="Default"/>
    <w:rsid w:val="00935305"/>
    <w:pPr>
      <w:autoSpaceDE w:val="0"/>
      <w:autoSpaceDN w:val="0"/>
      <w:adjustRightInd w:val="0"/>
    </w:pPr>
    <w:rPr>
      <w:rFonts w:ascii="Arial" w:eastAsiaTheme="minorHAnsi" w:hAnsi="Arial" w:cs="Arial"/>
      <w:color w:val="000000"/>
      <w:lang w:val="en-US" w:eastAsia="en-US"/>
    </w:rPr>
  </w:style>
  <w:style w:type="character" w:customStyle="1" w:styleId="would-recommend-text">
    <w:name w:val="would-recommend-text"/>
    <w:basedOn w:val="Domylnaczcionkaakapitu"/>
    <w:rsid w:val="00A074DF"/>
  </w:style>
  <w:style w:type="character" w:customStyle="1" w:styleId="fontstyle01">
    <w:name w:val="fontstyle01"/>
    <w:rsid w:val="001935D2"/>
    <w:rPr>
      <w:rFonts w:ascii="TimesNewRomanPSMT" w:hAnsi="TimesNewRomanPSMT" w:hint="default"/>
      <w:b w:val="0"/>
      <w:bCs w:val="0"/>
      <w:i w:val="0"/>
      <w:iCs w:val="0"/>
      <w:color w:val="000000"/>
      <w:sz w:val="22"/>
      <w:szCs w:val="22"/>
    </w:rPr>
  </w:style>
  <w:style w:type="paragraph" w:customStyle="1" w:styleId="my-0">
    <w:name w:val="my-0"/>
    <w:rsid w:val="00357A2F"/>
    <w:pPr>
      <w:spacing w:before="100" w:beforeAutospacing="1" w:after="100" w:afterAutospacing="1"/>
    </w:pPr>
  </w:style>
  <w:style w:type="character" w:styleId="UyteHipercze">
    <w:name w:val="FollowedHyperlink"/>
    <w:basedOn w:val="Domylnaczcionkaakapitu"/>
    <w:uiPriority w:val="99"/>
    <w:semiHidden/>
    <w:unhideWhenUsed/>
    <w:rsid w:val="00F52335"/>
    <w:rPr>
      <w:color w:val="96607D" w:themeColor="followedHyperlink"/>
      <w:u w:val="single"/>
    </w:rPr>
  </w:style>
  <w:style w:type="paragraph" w:styleId="Poprawka">
    <w:name w:val="Revision"/>
    <w:hidden/>
    <w:uiPriority w:val="99"/>
    <w:semiHidden/>
    <w:rsid w:val="005D069D"/>
  </w:style>
  <w:style w:type="paragraph" w:styleId="NormalnyWeb">
    <w:name w:val="Normal (Web)"/>
    <w:uiPriority w:val="99"/>
    <w:semiHidden/>
    <w:unhideWhenUsed/>
    <w:rsid w:val="00730CB1"/>
  </w:style>
  <w:style w:type="character" w:styleId="Pogrubienie">
    <w:name w:val="Strong"/>
    <w:basedOn w:val="Domylnaczcionkaakapitu"/>
    <w:uiPriority w:val="22"/>
    <w:qFormat/>
    <w:rsid w:val="00730CB1"/>
    <w:rPr>
      <w:b/>
      <w:bCs/>
    </w:rPr>
  </w:style>
  <w:style w:type="character" w:customStyle="1" w:styleId="AkapitzlistZnak">
    <w:name w:val="Akapit z listą Znak"/>
    <w:basedOn w:val="Domylnaczcionkaakapitu"/>
    <w:link w:val="Akapitzlist"/>
    <w:uiPriority w:val="34"/>
    <w:rsid w:val="00BE7E22"/>
  </w:style>
  <w:style w:type="paragraph" w:styleId="Bezodstpw">
    <w:name w:val="No Spacing"/>
    <w:uiPriority w:val="1"/>
    <w:qFormat/>
    <w:rsid w:val="003E4828"/>
    <w:rPr>
      <w:rFonts w:asciiTheme="minorHAnsi" w:eastAsiaTheme="minorHAnsi" w:hAnsiTheme="minorHAnsi" w:cstheme="minorBidi"/>
      <w:kern w:val="2"/>
      <w:lang w:eastAsia="en-US"/>
    </w:rPr>
  </w:style>
  <w:style w:type="paragraph" w:styleId="Stopka">
    <w:name w:val="footer"/>
    <w:link w:val="StopkaZnak"/>
    <w:uiPriority w:val="99"/>
    <w:rsid w:val="00A81E3F"/>
    <w:pPr>
      <w:tabs>
        <w:tab w:val="center" w:pos="4536"/>
        <w:tab w:val="right" w:pos="9072"/>
      </w:tabs>
      <w:spacing w:before="360" w:after="360" w:line="360" w:lineRule="auto"/>
    </w:pPr>
    <w:rPr>
      <w:lang w:eastAsia="en-US"/>
    </w:rPr>
  </w:style>
  <w:style w:type="character" w:customStyle="1" w:styleId="StopkaZnak">
    <w:name w:val="Stopka Znak"/>
    <w:basedOn w:val="Domylnaczcionkaakapitu"/>
    <w:link w:val="Stopka"/>
    <w:uiPriority w:val="99"/>
    <w:rsid w:val="00A81E3F"/>
    <w:rPr>
      <w:rFonts w:eastAsia="Times New Roman" w:cs="Times New Roman"/>
      <w:sz w:val="24"/>
      <w:szCs w:val="24"/>
      <w:lang w:eastAsia="en-US"/>
    </w:rPr>
  </w:style>
  <w:style w:type="paragraph" w:styleId="Podtytu">
    <w:name w:val="Subtitle"/>
    <w:basedOn w:val="Normalny"/>
    <w:next w:val="Normalny"/>
    <w:uiPriority w:val="11"/>
    <w:qFormat/>
    <w:rPr>
      <w:color w:val="595959"/>
      <w:sz w:val="28"/>
      <w:szCs w:val="28"/>
    </w:rPr>
  </w:style>
  <w:style w:type="table" w:customStyle="1" w:styleId="affff6">
    <w:basedOn w:val="TableNormal0"/>
    <w:tblPr>
      <w:tblStyleRowBandSize w:val="1"/>
      <w:tblStyleColBandSize w:val="1"/>
      <w:tblCellMar>
        <w:left w:w="70" w:type="dxa"/>
        <w:right w:w="70"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70" w:type="dxa"/>
        <w:right w:w="70"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left w:w="108" w:type="dxa"/>
        <w:right w:w="108" w:type="dxa"/>
      </w:tblCellMar>
    </w:tbl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7582">
      <w:bodyDiv w:val="1"/>
      <w:marLeft w:val="0"/>
      <w:marRight w:val="0"/>
      <w:marTop w:val="0"/>
      <w:marBottom w:val="0"/>
      <w:divBdr>
        <w:top w:val="none" w:sz="0" w:space="0" w:color="auto"/>
        <w:left w:val="none" w:sz="0" w:space="0" w:color="auto"/>
        <w:bottom w:val="none" w:sz="0" w:space="0" w:color="auto"/>
        <w:right w:val="none" w:sz="0" w:space="0" w:color="auto"/>
      </w:divBdr>
    </w:div>
    <w:div w:id="302009628">
      <w:bodyDiv w:val="1"/>
      <w:marLeft w:val="0"/>
      <w:marRight w:val="0"/>
      <w:marTop w:val="0"/>
      <w:marBottom w:val="0"/>
      <w:divBdr>
        <w:top w:val="none" w:sz="0" w:space="0" w:color="auto"/>
        <w:left w:val="none" w:sz="0" w:space="0" w:color="auto"/>
        <w:bottom w:val="none" w:sz="0" w:space="0" w:color="auto"/>
        <w:right w:val="none" w:sz="0" w:space="0" w:color="auto"/>
      </w:divBdr>
    </w:div>
    <w:div w:id="583414854">
      <w:bodyDiv w:val="1"/>
      <w:marLeft w:val="0"/>
      <w:marRight w:val="0"/>
      <w:marTop w:val="0"/>
      <w:marBottom w:val="0"/>
      <w:divBdr>
        <w:top w:val="none" w:sz="0" w:space="0" w:color="auto"/>
        <w:left w:val="none" w:sz="0" w:space="0" w:color="auto"/>
        <w:bottom w:val="none" w:sz="0" w:space="0" w:color="auto"/>
        <w:right w:val="none" w:sz="0" w:space="0" w:color="auto"/>
      </w:divBdr>
    </w:div>
    <w:div w:id="970938287">
      <w:bodyDiv w:val="1"/>
      <w:marLeft w:val="0"/>
      <w:marRight w:val="0"/>
      <w:marTop w:val="0"/>
      <w:marBottom w:val="0"/>
      <w:divBdr>
        <w:top w:val="none" w:sz="0" w:space="0" w:color="auto"/>
        <w:left w:val="none" w:sz="0" w:space="0" w:color="auto"/>
        <w:bottom w:val="none" w:sz="0" w:space="0" w:color="auto"/>
        <w:right w:val="none" w:sz="0" w:space="0" w:color="auto"/>
      </w:divBdr>
    </w:div>
    <w:div w:id="1129278121">
      <w:bodyDiv w:val="1"/>
      <w:marLeft w:val="0"/>
      <w:marRight w:val="0"/>
      <w:marTop w:val="0"/>
      <w:marBottom w:val="0"/>
      <w:divBdr>
        <w:top w:val="none" w:sz="0" w:space="0" w:color="auto"/>
        <w:left w:val="none" w:sz="0" w:space="0" w:color="auto"/>
        <w:bottom w:val="none" w:sz="0" w:space="0" w:color="auto"/>
        <w:right w:val="none" w:sz="0" w:space="0" w:color="auto"/>
      </w:divBdr>
    </w:div>
    <w:div w:id="1435903528">
      <w:bodyDiv w:val="1"/>
      <w:marLeft w:val="0"/>
      <w:marRight w:val="0"/>
      <w:marTop w:val="0"/>
      <w:marBottom w:val="0"/>
      <w:divBdr>
        <w:top w:val="none" w:sz="0" w:space="0" w:color="auto"/>
        <w:left w:val="none" w:sz="0" w:space="0" w:color="auto"/>
        <w:bottom w:val="none" w:sz="0" w:space="0" w:color="auto"/>
        <w:right w:val="none" w:sz="0" w:space="0" w:color="auto"/>
      </w:divBdr>
    </w:div>
    <w:div w:id="1719741586">
      <w:bodyDiv w:val="1"/>
      <w:marLeft w:val="0"/>
      <w:marRight w:val="0"/>
      <w:marTop w:val="0"/>
      <w:marBottom w:val="0"/>
      <w:divBdr>
        <w:top w:val="none" w:sz="0" w:space="0" w:color="auto"/>
        <w:left w:val="none" w:sz="0" w:space="0" w:color="auto"/>
        <w:bottom w:val="none" w:sz="0" w:space="0" w:color="auto"/>
        <w:right w:val="none" w:sz="0" w:space="0" w:color="auto"/>
      </w:divBdr>
    </w:div>
    <w:div w:id="1775124857">
      <w:bodyDiv w:val="1"/>
      <w:marLeft w:val="0"/>
      <w:marRight w:val="0"/>
      <w:marTop w:val="0"/>
      <w:marBottom w:val="0"/>
      <w:divBdr>
        <w:top w:val="none" w:sz="0" w:space="0" w:color="auto"/>
        <w:left w:val="none" w:sz="0" w:space="0" w:color="auto"/>
        <w:bottom w:val="none" w:sz="0" w:space="0" w:color="auto"/>
        <w:right w:val="none" w:sz="0" w:space="0" w:color="auto"/>
      </w:divBdr>
    </w:div>
    <w:div w:id="1824467773">
      <w:bodyDiv w:val="1"/>
      <w:marLeft w:val="0"/>
      <w:marRight w:val="0"/>
      <w:marTop w:val="0"/>
      <w:marBottom w:val="0"/>
      <w:divBdr>
        <w:top w:val="none" w:sz="0" w:space="0" w:color="auto"/>
        <w:left w:val="none" w:sz="0" w:space="0" w:color="auto"/>
        <w:bottom w:val="none" w:sz="0" w:space="0" w:color="auto"/>
        <w:right w:val="none" w:sz="0" w:space="0" w:color="auto"/>
      </w:divBdr>
    </w:div>
    <w:div w:id="2133204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vZONyjhL4+lnM+zkSAEbdo0Gw==">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E35D23-CBE7-4C64-8B57-34411FA0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31</Pages>
  <Words>7959</Words>
  <Characters>54440</Characters>
  <Application>Microsoft Office Word</Application>
  <DocSecurity>0</DocSecurity>
  <Lines>1512</Lines>
  <Paragraphs>945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Predko-Wróblewska</dc:creator>
  <cp:lastModifiedBy>Anna Predko-Wróblewska</cp:lastModifiedBy>
  <cp:revision>30</cp:revision>
  <dcterms:created xsi:type="dcterms:W3CDTF">2026-01-28T20:09:00Z</dcterms:created>
  <dcterms:modified xsi:type="dcterms:W3CDTF">2026-08-03T08:43:00Z</dcterms:modified>
</cp:coreProperties>
</file>