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4815" w14:textId="6D7E2DAE" w:rsidR="009D611B" w:rsidRPr="00CE4C6D" w:rsidRDefault="00000000">
      <w:pPr>
        <w:spacing w:after="40"/>
        <w:jc w:val="right"/>
        <w:rPr>
          <w:lang w:val="pl-PL"/>
        </w:rPr>
      </w:pPr>
      <w:r w:rsidRPr="00CE4C6D">
        <w:rPr>
          <w:lang w:val="pl-PL"/>
        </w:rPr>
        <w:t xml:space="preserve">Perlejewo, dnia </w:t>
      </w:r>
      <w:r w:rsidR="000C0563">
        <w:rPr>
          <w:lang w:val="pl-PL"/>
        </w:rPr>
        <w:t>04.08.</w:t>
      </w:r>
      <w:r w:rsidRPr="00CE4C6D">
        <w:rPr>
          <w:lang w:val="pl-PL"/>
        </w:rPr>
        <w:t>2026 r.</w:t>
      </w:r>
    </w:p>
    <w:p w14:paraId="02192899" w14:textId="77777777" w:rsidR="009D611B" w:rsidRPr="00CE4C6D" w:rsidRDefault="00000000">
      <w:pPr>
        <w:spacing w:after="360"/>
        <w:jc w:val="both"/>
        <w:rPr>
          <w:lang w:val="pl-PL"/>
        </w:rPr>
      </w:pPr>
      <w:r w:rsidRPr="00CE4C6D">
        <w:rPr>
          <w:lang w:val="pl-PL"/>
        </w:rPr>
        <w:t>GP.271.1.4.2026</w:t>
      </w:r>
    </w:p>
    <w:p w14:paraId="75C46330" w14:textId="77777777" w:rsidR="000C0563" w:rsidRDefault="000C0563">
      <w:pPr>
        <w:spacing w:after="40"/>
        <w:jc w:val="center"/>
        <w:rPr>
          <w:b/>
          <w:lang w:val="pl-PL"/>
        </w:rPr>
      </w:pPr>
    </w:p>
    <w:p w14:paraId="1A371654" w14:textId="1CAB6167" w:rsidR="009D611B" w:rsidRPr="00CE4C6D" w:rsidRDefault="00000000">
      <w:pPr>
        <w:spacing w:after="40"/>
        <w:jc w:val="center"/>
        <w:rPr>
          <w:lang w:val="pl-PL"/>
        </w:rPr>
      </w:pPr>
      <w:r w:rsidRPr="00CE4C6D">
        <w:rPr>
          <w:b/>
          <w:lang w:val="pl-PL"/>
        </w:rPr>
        <w:t>WYJAŚNIENIA ORAZ ZMIANA TREŚCI</w:t>
      </w:r>
    </w:p>
    <w:p w14:paraId="4E605674" w14:textId="77777777" w:rsidR="009D611B" w:rsidRDefault="00000000">
      <w:pPr>
        <w:spacing w:after="360"/>
        <w:jc w:val="center"/>
        <w:rPr>
          <w:b/>
          <w:lang w:val="pl-PL"/>
        </w:rPr>
      </w:pPr>
      <w:r w:rsidRPr="00CE4C6D">
        <w:rPr>
          <w:b/>
          <w:lang w:val="pl-PL"/>
        </w:rPr>
        <w:t>SPECYFIKACJI WARUNKÓW ZAMÓWIENIA</w:t>
      </w:r>
    </w:p>
    <w:p w14:paraId="2F8D93AC" w14:textId="21BA68C3" w:rsidR="000C0563" w:rsidRDefault="000C0563" w:rsidP="000C0563">
      <w:pPr>
        <w:spacing w:after="80" w:line="360" w:lineRule="auto"/>
        <w:ind w:firstLine="720"/>
        <w:jc w:val="both"/>
        <w:rPr>
          <w:b/>
          <w:lang w:val="pl-PL"/>
        </w:rPr>
      </w:pPr>
      <w:r w:rsidRPr="003365D8">
        <w:rPr>
          <w:lang w:val="pl-PL"/>
        </w:rPr>
        <w:t xml:space="preserve">Gmina Perlejewo </w:t>
      </w:r>
      <w:r w:rsidRPr="003365D8">
        <w:rPr>
          <w:bCs/>
          <w:lang w:val="pl-PL"/>
        </w:rPr>
        <w:t xml:space="preserve">informuje, że do treści specyfikacji warunków zamówienia </w:t>
      </w:r>
      <w:r>
        <w:rPr>
          <w:bCs/>
          <w:lang w:val="pl-PL"/>
        </w:rPr>
        <w:t xml:space="preserve">                    w</w:t>
      </w:r>
      <w:r w:rsidRPr="003365D8">
        <w:rPr>
          <w:bCs/>
          <w:lang w:val="pl-PL"/>
        </w:rPr>
        <w:t xml:space="preserve"> postępowaniu o udzielenie zamówienia publicznego pn.: „</w:t>
      </w:r>
      <w:r w:rsidRPr="003365D8">
        <w:rPr>
          <w:b/>
          <w:bCs/>
          <w:lang w:val="pl-PL"/>
        </w:rPr>
        <w:t xml:space="preserve">Dostawa sprzętu i oprogramowania teleinformatycznego w ramach projektu „Zwiększenie cyberbezpieczeństwa w Gminie Perlejewo” realizowanego w ramach projektu grantowego „Cyberbezpieczny Samorząd” </w:t>
      </w:r>
      <w:r w:rsidRPr="003365D8">
        <w:rPr>
          <w:bCs/>
          <w:lang w:val="pl-PL"/>
        </w:rPr>
        <w:t>wpłynęł</w:t>
      </w:r>
      <w:r>
        <w:rPr>
          <w:bCs/>
          <w:lang w:val="pl-PL"/>
        </w:rPr>
        <w:t>y</w:t>
      </w:r>
      <w:r w:rsidRPr="003365D8">
        <w:rPr>
          <w:bCs/>
          <w:lang w:val="pl-PL"/>
        </w:rPr>
        <w:t xml:space="preserve"> poniższe zapytani</w:t>
      </w:r>
      <w:r>
        <w:rPr>
          <w:bCs/>
          <w:lang w:val="pl-PL"/>
        </w:rPr>
        <w:t>a</w:t>
      </w:r>
      <w:r w:rsidRPr="003365D8">
        <w:rPr>
          <w:bCs/>
          <w:lang w:val="pl-PL"/>
        </w:rPr>
        <w:t>:</w:t>
      </w:r>
    </w:p>
    <w:p w14:paraId="01EAEA54" w14:textId="77777777" w:rsidR="000C0563" w:rsidRDefault="000C0563">
      <w:pPr>
        <w:spacing w:after="80"/>
        <w:jc w:val="both"/>
        <w:rPr>
          <w:b/>
          <w:lang w:val="pl-PL"/>
        </w:rPr>
      </w:pPr>
    </w:p>
    <w:p w14:paraId="15FBDA61" w14:textId="3777970F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I. WYJAŚNIENIA TREŚCI SWZ – ZAPYTANIE NR 1</w:t>
      </w:r>
    </w:p>
    <w:p w14:paraId="79F58A22" w14:textId="77777777" w:rsidR="009D611B" w:rsidRPr="00CE4C6D" w:rsidRDefault="00000000">
      <w:pPr>
        <w:spacing w:after="240"/>
        <w:jc w:val="both"/>
        <w:rPr>
          <w:lang w:val="pl-PL"/>
        </w:rPr>
      </w:pPr>
      <w:r w:rsidRPr="00CE4C6D">
        <w:rPr>
          <w:i/>
          <w:lang w:val="pl-PL"/>
        </w:rPr>
        <w:t>(Opis przedmiotu zamówienia – serwer, przełączniki sieciowe, dyski macierzy NAS)</w:t>
      </w:r>
    </w:p>
    <w:p w14:paraId="5BC144D1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Pytanie nr 1 – taktowanie procesora serwera</w:t>
      </w:r>
    </w:p>
    <w:p w14:paraId="2079F98B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Treść pytania:</w:t>
      </w:r>
    </w:p>
    <w:p w14:paraId="02670764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Wykonawca pyta, czy Zamawiający dopuści procesor o taktowaniu bazowym 2,3 GHz, wskazując, że tak niewielka różnica w taktowaniu nie wpłynie na wydajność serwera, a zwiększy konkurencyjność postępowania.</w:t>
      </w:r>
    </w:p>
    <w:p w14:paraId="45933C27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Odpowiedź Zamawiającego:</w:t>
      </w:r>
    </w:p>
    <w:p w14:paraId="3C77802F" w14:textId="77777777" w:rsidR="009D611B" w:rsidRPr="00CE4C6D" w:rsidRDefault="00000000">
      <w:pPr>
        <w:spacing w:after="280"/>
        <w:jc w:val="both"/>
        <w:rPr>
          <w:lang w:val="pl-PL"/>
        </w:rPr>
      </w:pPr>
      <w:r w:rsidRPr="00CE4C6D">
        <w:rPr>
          <w:lang w:val="pl-PL"/>
        </w:rPr>
        <w:t>Zamawiający wyraża zgodę. Zamawiający dopuszcza procesor 16-rdzeniowy x86-64 o taktowaniu bazowym wynoszącym minimum 2,3 GHz. Pozostałe wymagania dotyczące procesora oraz płyty głównej pozostają bez zmian. Zamawiający dokonuje zmiany treści OPZ – zmiana nr 1 w części III niniejszego pisma.</w:t>
      </w:r>
    </w:p>
    <w:p w14:paraId="4F7D57A6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Pytanie nr 2 – obudowa przełącznika sieciowego typu 3</w:t>
      </w:r>
    </w:p>
    <w:p w14:paraId="16986D93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Treść pytania:</w:t>
      </w:r>
    </w:p>
    <w:p w14:paraId="70B053F3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Wykonawca pyta, czy Zamawiający dopuści przełącznik w obudowie typu desktop z możliwością montażu w szafie rack 19” przy użyciu dedykowanej półki.</w:t>
      </w:r>
    </w:p>
    <w:p w14:paraId="37919048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Odpowiedź Zamawiającego:</w:t>
      </w:r>
    </w:p>
    <w:p w14:paraId="6658EF7F" w14:textId="77777777" w:rsidR="009D611B" w:rsidRPr="00CE4C6D" w:rsidRDefault="00000000">
      <w:pPr>
        <w:spacing w:after="280"/>
        <w:jc w:val="both"/>
        <w:rPr>
          <w:lang w:val="pl-PL"/>
        </w:rPr>
      </w:pPr>
      <w:r w:rsidRPr="00CE4C6D">
        <w:rPr>
          <w:lang w:val="pl-PL"/>
        </w:rPr>
        <w:t>Zamawiający potwierdza, że dopuszcza takie rozwiązanie. Opis przedmiotu zamówienia w punkcie 5.3, w części „Parametry fizyczne”, zawiera już zapis: „Dopuszcza się montaż w szafie rack 19” z zastosowaniem dedykowanego zestawu montażowego objętego dostawą”. Warunkiem jest objęcie dedykowanej półki lub zestawu montażowego zakresem oferty i uwzględnienie go w cenie oferty. Treść OPZ nie wymaga w tym zakresie zmiany.</w:t>
      </w:r>
    </w:p>
    <w:p w14:paraId="7CE8D711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lastRenderedPageBreak/>
        <w:t>Pytanie nr 3 – parametr MTBF dysków macierzy NAS</w:t>
      </w:r>
    </w:p>
    <w:p w14:paraId="0B8F91A7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Treść pytania:</w:t>
      </w:r>
    </w:p>
    <w:p w14:paraId="1DD36B7E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Wykonawca wskazuje, że Opis przedmiotu zamówienia zawiera dwie różne wartości parametru MTBF dla dysków macierzy NAS – 1 000 000 godzin oraz 2 000 000 godzin – i wnosi o sprecyzowanie, którym parametrem ma się kierować, a także o wykreślenie błędnego zapisu.</w:t>
      </w:r>
    </w:p>
    <w:p w14:paraId="52CF809D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Odpowiedź Zamawiającego:</w:t>
      </w:r>
    </w:p>
    <w:p w14:paraId="7D85D794" w14:textId="77777777" w:rsidR="009D611B" w:rsidRPr="00CE4C6D" w:rsidRDefault="00000000">
      <w:pPr>
        <w:spacing w:after="280"/>
        <w:jc w:val="both"/>
        <w:rPr>
          <w:lang w:val="pl-PL"/>
        </w:rPr>
      </w:pPr>
      <w:r w:rsidRPr="00CE4C6D">
        <w:rPr>
          <w:lang w:val="pl-PL"/>
        </w:rPr>
        <w:t>Zamawiający potwierdza, że w tabeli określającej parametry dysków przeznaczonych do macierzy NAS omyłkowo zamieszczono dwa wiersze dotyczące tego samego parametru. Wiążącą wartością jest niezawodność MTBF wynosząca 1 000 000 godzin. Zamawiający wykreśla wiersz zawierający wartość 2 000 000 godzin – zmiana nr 2 w części III niniejszego pisma.</w:t>
      </w:r>
    </w:p>
    <w:p w14:paraId="12AC5316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II. WYJAŚNIENIA TREŚCI SWZ – ZAPYTANIE NR 2</w:t>
      </w:r>
    </w:p>
    <w:p w14:paraId="77FC3274" w14:textId="77777777" w:rsidR="009D611B" w:rsidRPr="00CE4C6D" w:rsidRDefault="00000000">
      <w:pPr>
        <w:spacing w:after="240"/>
        <w:jc w:val="both"/>
        <w:rPr>
          <w:lang w:val="pl-PL"/>
        </w:rPr>
      </w:pPr>
      <w:r w:rsidRPr="00CE4C6D">
        <w:rPr>
          <w:i/>
          <w:lang w:val="pl-PL"/>
        </w:rPr>
        <w:t>(Opis przedmiotu zamówienia – przełączniki sieciowe typu 2 i typu 3)</w:t>
      </w:r>
    </w:p>
    <w:p w14:paraId="21288693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Pytanie nr 1 – port konsoli szeregowej przełączników</w:t>
      </w:r>
    </w:p>
    <w:p w14:paraId="2ABF87C0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Treść pytania:</w:t>
      </w:r>
    </w:p>
    <w:p w14:paraId="10C79C22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Wykonawca pyta, czy Zamawiający dopuszcza zaoferowanie przełączników sieciowych typu 2 i typu 3 bez wbudowanego portu konsoli szeregowej, przy zapewnieniu pełnego zarządzania urządzeniami w wymaganym zakresie z poziomu wiersza poleceń (w tym poprzez SSH), poprzez graficzny interfejs przeglądarki (HTTPS) oraz z poziomu centralnego systemu zarządzania.</w:t>
      </w:r>
    </w:p>
    <w:p w14:paraId="54BD6D7C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Odpowiedź Zamawiającego:</w:t>
      </w:r>
    </w:p>
    <w:p w14:paraId="021E238A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lang w:val="pl-PL"/>
        </w:rPr>
        <w:t>Zamawiający wyraża zgodę w odniesieniu do przełączników sieciowych typu 2 oraz typu 3. Zamawiający dopuszcza zaoferowanie urządzeń wyposażonych we wbudowany port konsoli szeregowej albo urządzeń umożliwiających pełne zarządzanie w wymaganym zakresie z poziomu wiersza poleceń (w tym poprzez SSH), graficznego interfejsu przeglądarki (HTTPS) oraz centralnego systemu zarządzania.</w:t>
      </w:r>
    </w:p>
    <w:p w14:paraId="5946116A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lang w:val="pl-PL"/>
        </w:rPr>
        <w:t>Zamawiający nie wyraża zgody w odniesieniu do przełącznika sieciowego typu 1. Urządzenie to pełni funkcję nadrzędną w strukturze sieci Zamawiającego, w związku z czym możliwość bezpośredniego dostępu serwisowego niezależnego od konfiguracji sieciowej urządzenia ma dla Zamawiającego istotne znaczenie eksploatacyjne. Wymóg wbudowanego portu konsoli szeregowej dla przełącznika typu 1 pozostaje bez zmian.</w:t>
      </w:r>
    </w:p>
    <w:p w14:paraId="7016F6C2" w14:textId="77777777" w:rsidR="009D611B" w:rsidRPr="00CE4C6D" w:rsidRDefault="00000000">
      <w:pPr>
        <w:spacing w:after="320"/>
        <w:jc w:val="both"/>
        <w:rPr>
          <w:lang w:val="pl-PL"/>
        </w:rPr>
      </w:pPr>
      <w:r w:rsidRPr="00CE4C6D">
        <w:rPr>
          <w:lang w:val="pl-PL"/>
        </w:rPr>
        <w:t>Zamawiający dokonuje zmiany treści OPZ – zmiana nr 3 w części III niniejszego pisma.</w:t>
      </w:r>
    </w:p>
    <w:p w14:paraId="3C056CDC" w14:textId="77777777" w:rsidR="009D611B" w:rsidRPr="00CE4C6D" w:rsidRDefault="00000000">
      <w:pPr>
        <w:jc w:val="both"/>
        <w:rPr>
          <w:lang w:val="pl-PL"/>
        </w:rPr>
      </w:pPr>
      <w:r w:rsidRPr="00CE4C6D">
        <w:rPr>
          <w:b/>
          <w:lang w:val="pl-PL"/>
        </w:rPr>
        <w:t>III. ZMIANA TREŚCI SWZ – ZAŁĄCZNIK NR 1 (OPZ)</w:t>
      </w:r>
    </w:p>
    <w:p w14:paraId="372DFB7B" w14:textId="77777777" w:rsidR="009D611B" w:rsidRPr="00CE4C6D" w:rsidRDefault="00000000">
      <w:pPr>
        <w:spacing w:after="240"/>
        <w:jc w:val="both"/>
        <w:rPr>
          <w:lang w:val="pl-PL"/>
        </w:rPr>
      </w:pPr>
      <w:r w:rsidRPr="00CE4C6D">
        <w:rPr>
          <w:lang w:val="pl-PL"/>
        </w:rPr>
        <w:t>Działając na podstawie art. 286 ust. 1 ustawy Pzp, Zamawiający zmienia treść Załącznika nr 1 do SWZ – Opis Przedmiotu Zamówienia, w następujący sposób:</w:t>
      </w:r>
    </w:p>
    <w:p w14:paraId="7A156310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Zmiana nr 1 – punkt 2, serwer, pozycja „Procesor”</w:t>
      </w:r>
    </w:p>
    <w:p w14:paraId="218664A9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Dotychczasowe brzmienie:</w:t>
      </w:r>
    </w:p>
    <w:p w14:paraId="3BD06702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lastRenderedPageBreak/>
        <w:t>Procesor 16-rdzeniowy x86-64, taktowanie min. 2,4 GHz, zdolny do obsługi środowiska domenowego Active Directory oraz wirtualizacji dla min. 26 użytkowników.</w:t>
      </w:r>
    </w:p>
    <w:p w14:paraId="450C99BC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Otrzymuje brzmienie:</w:t>
      </w:r>
    </w:p>
    <w:p w14:paraId="0F728B41" w14:textId="77777777" w:rsidR="009D611B" w:rsidRPr="00CE4C6D" w:rsidRDefault="00000000">
      <w:pPr>
        <w:spacing w:after="280"/>
        <w:jc w:val="both"/>
        <w:rPr>
          <w:lang w:val="pl-PL"/>
        </w:rPr>
      </w:pPr>
      <w:r w:rsidRPr="00CE4C6D">
        <w:rPr>
          <w:lang w:val="pl-PL"/>
        </w:rPr>
        <w:t>Procesor 16-rdzeniowy x86-64, taktowanie bazowe min. 2,3 GHz, zdolny do obsługi środowiska domenowego Active Directory oraz wirtualizacji dla min. 26 użytkowników.</w:t>
      </w:r>
    </w:p>
    <w:p w14:paraId="3854FACE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Zmiana nr 2 – punkt 3, dyski macierzy NAS</w:t>
      </w:r>
    </w:p>
    <w:p w14:paraId="2F268189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Dotychczasowe brzmienie:</w:t>
      </w:r>
    </w:p>
    <w:p w14:paraId="7344304B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MTBF – 2 000 000 h</w:t>
      </w:r>
    </w:p>
    <w:p w14:paraId="19FDB10C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Otrzymuje brzmienie:</w:t>
      </w:r>
    </w:p>
    <w:p w14:paraId="347DE051" w14:textId="77777777" w:rsidR="009D611B" w:rsidRPr="00CE4C6D" w:rsidRDefault="00000000">
      <w:pPr>
        <w:spacing w:after="280"/>
        <w:jc w:val="both"/>
        <w:rPr>
          <w:lang w:val="pl-PL"/>
        </w:rPr>
      </w:pPr>
      <w:r w:rsidRPr="00CE4C6D">
        <w:rPr>
          <w:lang w:val="pl-PL"/>
        </w:rPr>
        <w:t>Wiersz zostaje wykreślony w całości. Wiążący pozostaje wiersz „Niezawodność MTBF – 1 000 000 godz.”.</w:t>
      </w:r>
    </w:p>
    <w:p w14:paraId="5C135DCA" w14:textId="77777777" w:rsidR="009D611B" w:rsidRPr="00CE4C6D" w:rsidRDefault="00000000">
      <w:pPr>
        <w:spacing w:after="80"/>
        <w:jc w:val="both"/>
        <w:rPr>
          <w:lang w:val="pl-PL"/>
        </w:rPr>
      </w:pPr>
      <w:r w:rsidRPr="00CE4C6D">
        <w:rPr>
          <w:b/>
          <w:lang w:val="pl-PL"/>
        </w:rPr>
        <w:t>Zmiana nr 3 – punkty 5.2 i 5.3, przełączniki sieciowe typu 2 i typu 3, pozycja „Zarządzanie”</w:t>
      </w:r>
    </w:p>
    <w:p w14:paraId="6E01EA78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Dotychczasowe brzmienie:</w:t>
      </w:r>
    </w:p>
    <w:p w14:paraId="5A8CE07F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wbudowany 1 port konsoli szeregowej do pełnego zarządzania</w:t>
      </w:r>
    </w:p>
    <w:p w14:paraId="698D5F58" w14:textId="77777777" w:rsidR="009D611B" w:rsidRPr="00CE4C6D" w:rsidRDefault="00000000">
      <w:pPr>
        <w:spacing w:after="40"/>
        <w:jc w:val="both"/>
        <w:rPr>
          <w:lang w:val="pl-PL"/>
        </w:rPr>
      </w:pPr>
      <w:r w:rsidRPr="00CE4C6D">
        <w:rPr>
          <w:i/>
          <w:lang w:val="pl-PL"/>
        </w:rPr>
        <w:t>Otrzymuje brzmienie:</w:t>
      </w:r>
    </w:p>
    <w:p w14:paraId="6F8FB2CB" w14:textId="77777777" w:rsidR="009D611B" w:rsidRPr="00CE4C6D" w:rsidRDefault="00000000">
      <w:pPr>
        <w:spacing w:after="280"/>
        <w:jc w:val="both"/>
        <w:rPr>
          <w:lang w:val="pl-PL"/>
        </w:rPr>
      </w:pPr>
      <w:r w:rsidRPr="00CE4C6D">
        <w:rPr>
          <w:lang w:val="pl-PL"/>
        </w:rPr>
        <w:t>wbudowany 1 port konsoli szeregowej do pełnego zarządzania albo pełne zarządzanie urządzeniem w wymaganym zakresie z poziomu wiersza poleceń (w tym poprzez SSH), graficznego interfejsu przeglądarki (HTTPS) oraz centralnego systemu zarządzania</w:t>
      </w:r>
    </w:p>
    <w:p w14:paraId="76CB114D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Zmiana nr 3 nie dotyczy przełącznika sieciowego typu 1, dla którego wymóg wbudowanego portu konsoli szeregowej pozostaje bez zmian.</w:t>
      </w:r>
    </w:p>
    <w:p w14:paraId="6763A50A" w14:textId="77777777" w:rsidR="009D611B" w:rsidRPr="00CE4C6D" w:rsidRDefault="00000000">
      <w:pPr>
        <w:spacing w:after="120"/>
        <w:jc w:val="both"/>
        <w:rPr>
          <w:lang w:val="pl-PL"/>
        </w:rPr>
      </w:pPr>
      <w:r w:rsidRPr="00CE4C6D">
        <w:rPr>
          <w:lang w:val="pl-PL"/>
        </w:rPr>
        <w:t>Pozostałe zapisy Załącznika nr 1 do SWZ (OPZ) pozostają bez zmian. Bez zmian pozostają również wyjaśnienia udzielone przez Zamawiającego wcześniej w toku niniejszego postępowania.</w:t>
      </w:r>
    </w:p>
    <w:p w14:paraId="74BF6A63" w14:textId="77777777" w:rsidR="009D611B" w:rsidRPr="00CE4C6D" w:rsidRDefault="00000000">
      <w:pPr>
        <w:spacing w:after="320"/>
        <w:jc w:val="both"/>
        <w:rPr>
          <w:lang w:val="pl-PL"/>
        </w:rPr>
      </w:pPr>
      <w:r w:rsidRPr="00CE4C6D">
        <w:rPr>
          <w:lang w:val="pl-PL"/>
        </w:rPr>
        <w:t>Zamawiający udostępnia zmieniony Załącznik nr 1 do SWZ (OPZ) wraz z niniejszym pismem. Zmieniony OPZ jest wiążący dla Wykonawców od dnia jego udostępnienia.</w:t>
      </w:r>
    </w:p>
    <w:p w14:paraId="52C00D8C" w14:textId="77777777" w:rsidR="009D611B" w:rsidRPr="00CE4C6D" w:rsidRDefault="00000000">
      <w:pPr>
        <w:spacing w:after="160"/>
        <w:jc w:val="both"/>
        <w:rPr>
          <w:lang w:val="pl-PL"/>
        </w:rPr>
      </w:pPr>
      <w:r w:rsidRPr="00CE4C6D">
        <w:rPr>
          <w:lang w:val="pl-PL"/>
        </w:rPr>
        <w:t>Pozostałe postanowienia SWZ pozostają bez zmian.</w:t>
      </w:r>
    </w:p>
    <w:p w14:paraId="6FB4B010" w14:textId="28790186" w:rsidR="009D611B" w:rsidRPr="00CE4C6D" w:rsidRDefault="00000000">
      <w:pPr>
        <w:spacing w:after="600"/>
        <w:jc w:val="both"/>
        <w:rPr>
          <w:lang w:val="pl-PL"/>
        </w:rPr>
      </w:pPr>
      <w:r w:rsidRPr="00CE4C6D">
        <w:rPr>
          <w:lang w:val="pl-PL"/>
        </w:rPr>
        <w:t>Zamawiający zamieszcza niniejsze pismo wraz ze zmienionym Załącznikiem nr 1 do SWZ (OPZ)</w:t>
      </w:r>
      <w:r w:rsidR="000C0563">
        <w:rPr>
          <w:lang w:val="pl-PL"/>
        </w:rPr>
        <w:t xml:space="preserve"> </w:t>
      </w:r>
      <w:r w:rsidRPr="00CE4C6D">
        <w:rPr>
          <w:lang w:val="pl-PL"/>
        </w:rPr>
        <w:t>na stronie internetowej prowadzonego postępowania.</w:t>
      </w:r>
    </w:p>
    <w:sectPr w:rsidR="009D611B" w:rsidRPr="00CE4C6D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78859" w14:textId="77777777" w:rsidR="00D466D3" w:rsidRDefault="00D466D3" w:rsidP="00CE4C6D">
      <w:pPr>
        <w:spacing w:after="0" w:line="240" w:lineRule="auto"/>
      </w:pPr>
      <w:r>
        <w:separator/>
      </w:r>
    </w:p>
  </w:endnote>
  <w:endnote w:type="continuationSeparator" w:id="0">
    <w:p w14:paraId="7DEEF8BB" w14:textId="77777777" w:rsidR="00D466D3" w:rsidRDefault="00D466D3" w:rsidP="00CE4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E340E" w14:textId="77777777" w:rsidR="00D466D3" w:rsidRDefault="00D466D3" w:rsidP="00CE4C6D">
      <w:pPr>
        <w:spacing w:after="0" w:line="240" w:lineRule="auto"/>
      </w:pPr>
      <w:r>
        <w:separator/>
      </w:r>
    </w:p>
  </w:footnote>
  <w:footnote w:type="continuationSeparator" w:id="0">
    <w:p w14:paraId="51722FA6" w14:textId="77777777" w:rsidR="00D466D3" w:rsidRDefault="00D466D3" w:rsidP="00CE4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9B2A" w14:textId="374F61AB" w:rsidR="00CE4C6D" w:rsidRDefault="00CE4C6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B62A3A0" wp14:editId="60C942BF">
          <wp:simplePos x="0" y="0"/>
          <wp:positionH relativeFrom="column">
            <wp:posOffset>16633</wp:posOffset>
          </wp:positionH>
          <wp:positionV relativeFrom="paragraph">
            <wp:posOffset>-204916</wp:posOffset>
          </wp:positionV>
          <wp:extent cx="5492750" cy="477520"/>
          <wp:effectExtent l="0" t="0" r="0" b="0"/>
          <wp:wrapSquare wrapText="bothSides" distT="0" distB="0" distL="114300" distR="114300"/>
          <wp:docPr id="123877573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2750" cy="477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2989107">
    <w:abstractNumId w:val="8"/>
  </w:num>
  <w:num w:numId="2" w16cid:durableId="701781608">
    <w:abstractNumId w:val="6"/>
  </w:num>
  <w:num w:numId="3" w16cid:durableId="805704832">
    <w:abstractNumId w:val="5"/>
  </w:num>
  <w:num w:numId="4" w16cid:durableId="1095907089">
    <w:abstractNumId w:val="4"/>
  </w:num>
  <w:num w:numId="5" w16cid:durableId="321810587">
    <w:abstractNumId w:val="7"/>
  </w:num>
  <w:num w:numId="6" w16cid:durableId="1195967706">
    <w:abstractNumId w:val="3"/>
  </w:num>
  <w:num w:numId="7" w16cid:durableId="1971551871">
    <w:abstractNumId w:val="2"/>
  </w:num>
  <w:num w:numId="8" w16cid:durableId="1611010054">
    <w:abstractNumId w:val="1"/>
  </w:num>
  <w:num w:numId="9" w16cid:durableId="86009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357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0563"/>
    <w:rsid w:val="0015074B"/>
    <w:rsid w:val="0029639D"/>
    <w:rsid w:val="00326F90"/>
    <w:rsid w:val="00376A2A"/>
    <w:rsid w:val="00707384"/>
    <w:rsid w:val="008269A8"/>
    <w:rsid w:val="009D611B"/>
    <w:rsid w:val="00AA1D8D"/>
    <w:rsid w:val="00B47730"/>
    <w:rsid w:val="00CB0664"/>
    <w:rsid w:val="00CE4C6D"/>
    <w:rsid w:val="00D466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E7C3BC"/>
  <w14:defaultImageDpi w14:val="300"/>
  <w15:docId w15:val="{948CBF52-6DB0-4AF3-BD23-C108CF2F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Wyjaśnienia i zmiana SWZ - GP.271.1.4.2026</dc:title>
  <dc:subject/>
  <dc:creator>Anna Predko-Wróblewska</dc:creator>
  <cp:keywords/>
  <dc:description>generated by python-docx</dc:description>
  <cp:lastModifiedBy>Olgierd Koleśnik</cp:lastModifiedBy>
  <cp:revision>3</cp:revision>
  <dcterms:created xsi:type="dcterms:W3CDTF">2013-12-23T23:15:00Z</dcterms:created>
  <dcterms:modified xsi:type="dcterms:W3CDTF">2026-08-04T06:21:00Z</dcterms:modified>
  <cp:category/>
</cp:coreProperties>
</file>