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F568E" w14:textId="77777777" w:rsidR="00392E73" w:rsidRPr="00FA147C" w:rsidRDefault="00392E73" w:rsidP="0087110A">
      <w:pPr>
        <w:tabs>
          <w:tab w:val="left" w:pos="1963"/>
        </w:tabs>
        <w:rPr>
          <w:rFonts w:asciiTheme="minorHAnsi" w:hAnsiTheme="minorHAnsi" w:cs="Arial"/>
          <w:b/>
          <w:sz w:val="20"/>
        </w:rPr>
      </w:pPr>
    </w:p>
    <w:p w14:paraId="1540E848" w14:textId="6D273081" w:rsidR="00392E73" w:rsidRPr="00FA147C" w:rsidRDefault="00392E73" w:rsidP="0087110A">
      <w:pPr>
        <w:tabs>
          <w:tab w:val="left" w:pos="1963"/>
        </w:tabs>
        <w:rPr>
          <w:rFonts w:asciiTheme="minorHAnsi" w:hAnsiTheme="minorHAnsi" w:cs="Arial"/>
          <w:b/>
          <w:sz w:val="26"/>
          <w:szCs w:val="26"/>
        </w:rPr>
      </w:pPr>
      <w:r w:rsidRPr="00FA147C">
        <w:rPr>
          <w:rFonts w:asciiTheme="minorHAnsi" w:hAnsiTheme="minorHAnsi" w:cs="Arial"/>
          <w:b/>
          <w:sz w:val="26"/>
          <w:szCs w:val="26"/>
        </w:rPr>
        <w:t xml:space="preserve">Załącznik nr </w:t>
      </w:r>
      <w:r w:rsidR="001243F7">
        <w:rPr>
          <w:rFonts w:asciiTheme="minorHAnsi" w:hAnsiTheme="minorHAnsi" w:cs="Arial"/>
          <w:b/>
          <w:sz w:val="26"/>
          <w:szCs w:val="26"/>
        </w:rPr>
        <w:t>2</w:t>
      </w:r>
      <w:r w:rsidRPr="00FA147C">
        <w:rPr>
          <w:rFonts w:asciiTheme="minorHAnsi" w:hAnsiTheme="minorHAnsi" w:cs="Arial"/>
          <w:b/>
          <w:sz w:val="26"/>
          <w:szCs w:val="26"/>
        </w:rPr>
        <w:t xml:space="preserve"> –</w:t>
      </w:r>
      <w:r w:rsidR="001243F7">
        <w:rPr>
          <w:rFonts w:asciiTheme="minorHAnsi" w:hAnsiTheme="minorHAnsi" w:cs="Arial"/>
          <w:b/>
          <w:sz w:val="26"/>
          <w:szCs w:val="26"/>
        </w:rPr>
        <w:t xml:space="preserve"> </w:t>
      </w:r>
      <w:r w:rsidR="006C05C1">
        <w:rPr>
          <w:rFonts w:asciiTheme="minorHAnsi" w:hAnsiTheme="minorHAnsi" w:cs="Arial"/>
          <w:b/>
          <w:sz w:val="26"/>
          <w:szCs w:val="26"/>
        </w:rPr>
        <w:t>O</w:t>
      </w:r>
      <w:r w:rsidRPr="00FA147C">
        <w:rPr>
          <w:rFonts w:asciiTheme="minorHAnsi" w:hAnsiTheme="minorHAnsi" w:cs="Arial"/>
          <w:b/>
          <w:sz w:val="26"/>
          <w:szCs w:val="26"/>
        </w:rPr>
        <w:t>pis przedmiotu zamówienia</w:t>
      </w:r>
    </w:p>
    <w:p w14:paraId="281A2835" w14:textId="77777777" w:rsidR="00392E73" w:rsidRPr="00FA147C" w:rsidRDefault="00392E73" w:rsidP="0087110A">
      <w:pPr>
        <w:tabs>
          <w:tab w:val="left" w:pos="1963"/>
        </w:tabs>
        <w:rPr>
          <w:rFonts w:asciiTheme="minorHAnsi" w:hAnsiTheme="minorHAnsi" w:cs="Arial"/>
          <w:b/>
          <w:sz w:val="20"/>
        </w:rPr>
      </w:pPr>
    </w:p>
    <w:p w14:paraId="269B16EF" w14:textId="0A5EDDD4" w:rsidR="00392E73" w:rsidRPr="00FA147C" w:rsidRDefault="00392E73" w:rsidP="0087110A">
      <w:pPr>
        <w:tabs>
          <w:tab w:val="left" w:pos="1963"/>
        </w:tabs>
        <w:rPr>
          <w:rFonts w:asciiTheme="minorHAnsi" w:hAnsiTheme="minorHAnsi" w:cs="Arial"/>
          <w:bCs/>
          <w:sz w:val="20"/>
        </w:rPr>
      </w:pPr>
      <w:bookmarkStart w:id="0" w:name="OLE_LINK12"/>
      <w:r w:rsidRPr="00FA147C">
        <w:rPr>
          <w:rFonts w:asciiTheme="minorHAnsi" w:hAnsiTheme="minorHAnsi" w:cs="Arial"/>
          <w:bCs/>
          <w:sz w:val="20"/>
        </w:rPr>
        <w:t>P</w:t>
      </w:r>
      <w:bookmarkStart w:id="1" w:name="OLE_LINK13"/>
      <w:r w:rsidRPr="00FA147C">
        <w:rPr>
          <w:rFonts w:asciiTheme="minorHAnsi" w:hAnsiTheme="minorHAnsi" w:cs="Arial"/>
          <w:bCs/>
          <w:sz w:val="20"/>
        </w:rPr>
        <w:t>rzedmiotem zamówienia jest dostawa systemu kopii zapasow</w:t>
      </w:r>
      <w:r w:rsidR="00FA147C" w:rsidRPr="00FA147C">
        <w:rPr>
          <w:rFonts w:asciiTheme="minorHAnsi" w:hAnsiTheme="minorHAnsi" w:cs="Arial"/>
          <w:bCs/>
          <w:sz w:val="20"/>
        </w:rPr>
        <w:t>ych</w:t>
      </w:r>
      <w:r w:rsidRPr="00FA147C">
        <w:rPr>
          <w:rFonts w:asciiTheme="minorHAnsi" w:hAnsiTheme="minorHAnsi" w:cs="Arial"/>
          <w:bCs/>
          <w:sz w:val="20"/>
        </w:rPr>
        <w:t>, jego oprogramowania</w:t>
      </w:r>
      <w:r w:rsidR="007879E2" w:rsidRPr="00FA147C">
        <w:rPr>
          <w:rFonts w:asciiTheme="minorHAnsi" w:hAnsiTheme="minorHAnsi" w:cs="Arial"/>
          <w:bCs/>
          <w:sz w:val="20"/>
        </w:rPr>
        <w:t xml:space="preserve"> i licencji</w:t>
      </w:r>
      <w:r w:rsidR="00FA147C" w:rsidRPr="00FA147C">
        <w:rPr>
          <w:rFonts w:asciiTheme="minorHAnsi" w:hAnsiTheme="minorHAnsi" w:cs="Arial"/>
          <w:bCs/>
          <w:sz w:val="20"/>
        </w:rPr>
        <w:t xml:space="preserve"> oraz</w:t>
      </w:r>
      <w:r w:rsidRPr="00FA147C">
        <w:rPr>
          <w:rFonts w:asciiTheme="minorHAnsi" w:hAnsiTheme="minorHAnsi" w:cs="Arial"/>
          <w:bCs/>
          <w:sz w:val="20"/>
        </w:rPr>
        <w:t xml:space="preserve"> integracj</w:t>
      </w:r>
      <w:r w:rsidR="00BA501F">
        <w:rPr>
          <w:rFonts w:asciiTheme="minorHAnsi" w:hAnsiTheme="minorHAnsi" w:cs="Arial"/>
          <w:bCs/>
          <w:sz w:val="20"/>
        </w:rPr>
        <w:t>a</w:t>
      </w:r>
      <w:r w:rsidRPr="00FA147C">
        <w:rPr>
          <w:rFonts w:asciiTheme="minorHAnsi" w:hAnsiTheme="minorHAnsi" w:cs="Arial"/>
          <w:bCs/>
          <w:sz w:val="20"/>
        </w:rPr>
        <w:t xml:space="preserve"> ze środowiskiem Zamawiającego wraz z usługą wsparcia technicznego (maintenance) przez okres 36 miesięcy.</w:t>
      </w:r>
    </w:p>
    <w:bookmarkEnd w:id="0"/>
    <w:bookmarkEnd w:id="1"/>
    <w:p w14:paraId="47AF0A4C" w14:textId="77777777" w:rsidR="00216546" w:rsidRPr="00FA147C" w:rsidRDefault="00216546" w:rsidP="0087110A">
      <w:pPr>
        <w:tabs>
          <w:tab w:val="left" w:pos="1963"/>
        </w:tabs>
        <w:rPr>
          <w:rFonts w:asciiTheme="minorHAnsi" w:hAnsiTheme="minorHAnsi" w:cs="Arial"/>
          <w:bCs/>
          <w:sz w:val="20"/>
        </w:rPr>
      </w:pPr>
    </w:p>
    <w:p w14:paraId="22DB2FAA" w14:textId="77777777" w:rsidR="00216546" w:rsidRPr="00FA147C" w:rsidRDefault="00216546" w:rsidP="00216546">
      <w:pPr>
        <w:pStyle w:val="Nagwek1"/>
        <w:rPr>
          <w:rFonts w:asciiTheme="minorHAnsi" w:hAnsiTheme="minorHAnsi"/>
          <w:b/>
          <w:bCs/>
          <w:sz w:val="26"/>
          <w:szCs w:val="26"/>
        </w:rPr>
      </w:pPr>
      <w:r w:rsidRPr="00FA147C">
        <w:rPr>
          <w:rFonts w:asciiTheme="minorHAnsi" w:hAnsiTheme="minorHAnsi"/>
          <w:b/>
          <w:bCs/>
          <w:sz w:val="26"/>
          <w:szCs w:val="26"/>
        </w:rPr>
        <w:t>Zamówienie podstawowe</w:t>
      </w:r>
    </w:p>
    <w:p w14:paraId="4DC05D61" w14:textId="77777777" w:rsidR="00216546" w:rsidRPr="00FA147C" w:rsidRDefault="00216546" w:rsidP="00216546">
      <w:pPr>
        <w:spacing w:after="0"/>
        <w:rPr>
          <w:rFonts w:asciiTheme="minorHAnsi" w:hAnsiTheme="minorHAnsi"/>
          <w:sz w:val="20"/>
        </w:rPr>
      </w:pPr>
      <w:r w:rsidRPr="00FA147C">
        <w:rPr>
          <w:rFonts w:asciiTheme="minorHAnsi" w:hAnsiTheme="minorHAnsi"/>
          <w:sz w:val="20"/>
        </w:rPr>
        <w:t>Zamówienie podstawowe obejmuje usługi:</w:t>
      </w:r>
    </w:p>
    <w:p w14:paraId="741D5B84" w14:textId="77777777" w:rsidR="00F82615" w:rsidRDefault="00216546" w:rsidP="00216546">
      <w:pPr>
        <w:pStyle w:val="Akapitzlist"/>
        <w:numPr>
          <w:ilvl w:val="0"/>
          <w:numId w:val="2"/>
        </w:numPr>
        <w:spacing w:after="0"/>
        <w:rPr>
          <w:sz w:val="20"/>
          <w:szCs w:val="20"/>
        </w:rPr>
      </w:pPr>
      <w:bookmarkStart w:id="2" w:name="OLE_LINK10"/>
      <w:r w:rsidRPr="00FA147C">
        <w:rPr>
          <w:sz w:val="20"/>
          <w:szCs w:val="20"/>
        </w:rPr>
        <w:t>Dostarczenie kompletnego systemu kopii zapasowej zgodnie z tabelą 1</w:t>
      </w:r>
      <w:r w:rsidR="00F82615">
        <w:rPr>
          <w:sz w:val="20"/>
          <w:szCs w:val="20"/>
        </w:rPr>
        <w:t>.</w:t>
      </w:r>
    </w:p>
    <w:p w14:paraId="67CB3D29" w14:textId="22E75192" w:rsidR="00216546" w:rsidRPr="00FA147C" w:rsidRDefault="00BC0396" w:rsidP="00216546">
      <w:pPr>
        <w:pStyle w:val="Akapitzlist"/>
        <w:numPr>
          <w:ilvl w:val="0"/>
          <w:numId w:val="2"/>
        </w:numPr>
        <w:spacing w:after="0"/>
        <w:rPr>
          <w:sz w:val="20"/>
          <w:szCs w:val="20"/>
        </w:rPr>
      </w:pPr>
      <w:r w:rsidRPr="00FA147C">
        <w:rPr>
          <w:sz w:val="20"/>
          <w:szCs w:val="20"/>
        </w:rPr>
        <w:t xml:space="preserve"> </w:t>
      </w:r>
      <w:r w:rsidR="006C05C1">
        <w:rPr>
          <w:sz w:val="20"/>
          <w:szCs w:val="20"/>
        </w:rPr>
        <w:t>I</w:t>
      </w:r>
      <w:r w:rsidRPr="00FA147C">
        <w:rPr>
          <w:sz w:val="20"/>
          <w:szCs w:val="20"/>
        </w:rPr>
        <w:t>ntegracj</w:t>
      </w:r>
      <w:r w:rsidR="006C05C1">
        <w:rPr>
          <w:sz w:val="20"/>
          <w:szCs w:val="20"/>
        </w:rPr>
        <w:t>i</w:t>
      </w:r>
      <w:r w:rsidR="00F82615" w:rsidRPr="00FA147C">
        <w:rPr>
          <w:rFonts w:eastAsia="Calibri" w:cs="Arial"/>
          <w:sz w:val="20"/>
          <w:lang w:val="cs-CZ" w:eastAsia="pl-PL"/>
        </w:rPr>
        <w:t xml:space="preserve"> systemu kopii zapsowych ze środowiskiem Zamawiającego – </w:t>
      </w:r>
      <w:r w:rsidR="006C05C1">
        <w:rPr>
          <w:rFonts w:eastAsia="Calibri" w:cs="Arial"/>
          <w:sz w:val="20"/>
          <w:lang w:val="cs-CZ" w:eastAsia="pl-PL"/>
        </w:rPr>
        <w:t xml:space="preserve">Wykonawca zobowiązany jest </w:t>
      </w:r>
      <w:r w:rsidR="00F82615" w:rsidRPr="00FA147C">
        <w:rPr>
          <w:rFonts w:eastAsia="Calibri" w:cs="Arial"/>
          <w:sz w:val="20"/>
          <w:lang w:val="cs-CZ" w:eastAsia="pl-PL"/>
        </w:rPr>
        <w:t>wykonać konfigurację przełączników FC Brocade G620, przełączników Ethernet Arista 7050SX oraz macierzy dyskowych/deduplikatorów Huawei.</w:t>
      </w:r>
    </w:p>
    <w:p w14:paraId="7AF62F73" w14:textId="6DD98F62" w:rsidR="00216546" w:rsidRPr="00FA147C" w:rsidRDefault="00216546" w:rsidP="00216546">
      <w:pPr>
        <w:pStyle w:val="Akapitzlist"/>
        <w:numPr>
          <w:ilvl w:val="0"/>
          <w:numId w:val="2"/>
        </w:numPr>
        <w:spacing w:after="0"/>
        <w:rPr>
          <w:sz w:val="20"/>
          <w:szCs w:val="20"/>
        </w:rPr>
      </w:pPr>
      <w:r w:rsidRPr="00FA147C">
        <w:rPr>
          <w:sz w:val="20"/>
          <w:szCs w:val="20"/>
        </w:rPr>
        <w:t>Wsparcie techniczne przez okres 36 miesięcy (maintenance) z zachowaniem określonych parametrów SLA zgodnie z tabelą 1</w:t>
      </w:r>
      <w:r w:rsidR="00BC0396" w:rsidRPr="00FA147C">
        <w:rPr>
          <w:sz w:val="20"/>
          <w:szCs w:val="20"/>
        </w:rPr>
        <w:t>.</w:t>
      </w:r>
    </w:p>
    <w:bookmarkEnd w:id="2"/>
    <w:p w14:paraId="749C79CC" w14:textId="77777777" w:rsidR="000A4C4F" w:rsidRDefault="000A4C4F" w:rsidP="00216546">
      <w:pPr>
        <w:spacing w:after="0"/>
        <w:rPr>
          <w:rFonts w:asciiTheme="minorHAnsi" w:hAnsiTheme="minorHAnsi"/>
          <w:sz w:val="20"/>
        </w:rPr>
      </w:pPr>
    </w:p>
    <w:p w14:paraId="27AD5693" w14:textId="0C64C0A1" w:rsidR="000A4C4F" w:rsidRPr="00FA147C" w:rsidRDefault="000A4C4F" w:rsidP="000A4C4F">
      <w:pPr>
        <w:rPr>
          <w:rFonts w:asciiTheme="minorHAnsi" w:hAnsiTheme="minorHAnsi"/>
          <w:color w:val="000000"/>
          <w:sz w:val="20"/>
        </w:rPr>
      </w:pPr>
      <w:r w:rsidRPr="00FA147C">
        <w:rPr>
          <w:rFonts w:asciiTheme="minorHAnsi" w:hAnsiTheme="minorHAnsi"/>
          <w:color w:val="000000"/>
          <w:sz w:val="20"/>
        </w:rPr>
        <w:t>Urządzeni</w:t>
      </w:r>
      <w:r w:rsidR="00A40C95">
        <w:rPr>
          <w:rFonts w:asciiTheme="minorHAnsi" w:hAnsiTheme="minorHAnsi"/>
          <w:color w:val="000000"/>
          <w:sz w:val="20"/>
        </w:rPr>
        <w:t xml:space="preserve">e wchodzące w skład Systemu </w:t>
      </w:r>
      <w:r w:rsidRPr="00FA147C">
        <w:rPr>
          <w:rFonts w:asciiTheme="minorHAnsi" w:hAnsiTheme="minorHAnsi"/>
          <w:color w:val="000000"/>
          <w:sz w:val="20"/>
        </w:rPr>
        <w:t>mus</w:t>
      </w:r>
      <w:r w:rsidR="00A40C95">
        <w:rPr>
          <w:rFonts w:asciiTheme="minorHAnsi" w:hAnsiTheme="minorHAnsi"/>
          <w:color w:val="000000"/>
          <w:sz w:val="20"/>
        </w:rPr>
        <w:t xml:space="preserve">i </w:t>
      </w:r>
      <w:r w:rsidRPr="00FA147C">
        <w:rPr>
          <w:rFonts w:asciiTheme="minorHAnsi" w:hAnsiTheme="minorHAnsi"/>
          <w:color w:val="000000"/>
          <w:sz w:val="20"/>
        </w:rPr>
        <w:t>być fabrycznie nowe, wyprodukowan</w:t>
      </w:r>
      <w:r w:rsidR="00A40C95">
        <w:rPr>
          <w:rFonts w:asciiTheme="minorHAnsi" w:hAnsiTheme="minorHAnsi"/>
          <w:color w:val="000000"/>
          <w:sz w:val="20"/>
        </w:rPr>
        <w:t>e</w:t>
      </w:r>
      <w:r w:rsidRPr="00FA147C">
        <w:rPr>
          <w:rFonts w:asciiTheme="minorHAnsi" w:hAnsiTheme="minorHAnsi"/>
          <w:color w:val="000000"/>
          <w:sz w:val="20"/>
        </w:rPr>
        <w:t xml:space="preserve"> nie wcześniej niż 6 miesięcy przed datą dostarczenia do Zamawiającego i pochodzić z autoryzowanego kanału dystrybucji producenta, a także mus</w:t>
      </w:r>
      <w:r w:rsidR="00A40C95">
        <w:rPr>
          <w:rFonts w:asciiTheme="minorHAnsi" w:hAnsiTheme="minorHAnsi"/>
          <w:color w:val="000000"/>
          <w:sz w:val="20"/>
        </w:rPr>
        <w:t>i</w:t>
      </w:r>
      <w:r w:rsidRPr="00FA147C">
        <w:rPr>
          <w:rFonts w:asciiTheme="minorHAnsi" w:hAnsiTheme="minorHAnsi"/>
          <w:color w:val="000000"/>
          <w:sz w:val="20"/>
        </w:rPr>
        <w:t xml:space="preserve"> być objęte serwisem producenta lub autoryzowanego partnera serwisowego na terenie RP.</w:t>
      </w:r>
      <w:r>
        <w:rPr>
          <w:rFonts w:asciiTheme="minorHAnsi" w:hAnsiTheme="minorHAnsi"/>
          <w:color w:val="000000"/>
          <w:sz w:val="20"/>
        </w:rPr>
        <w:t xml:space="preserve"> </w:t>
      </w:r>
    </w:p>
    <w:p w14:paraId="22F543F7" w14:textId="77777777" w:rsidR="00392E73" w:rsidRPr="00FA147C" w:rsidRDefault="00392E73" w:rsidP="0087110A">
      <w:pPr>
        <w:tabs>
          <w:tab w:val="left" w:pos="1963"/>
        </w:tabs>
        <w:rPr>
          <w:rFonts w:asciiTheme="minorHAnsi" w:hAnsiTheme="minorHAnsi" w:cs="Arial"/>
          <w:b/>
          <w:sz w:val="20"/>
        </w:rPr>
      </w:pPr>
    </w:p>
    <w:p w14:paraId="16693D90" w14:textId="356DF07F" w:rsidR="0087110A" w:rsidRPr="00FA147C" w:rsidRDefault="00216546" w:rsidP="0087110A">
      <w:pPr>
        <w:tabs>
          <w:tab w:val="left" w:pos="1963"/>
        </w:tabs>
        <w:rPr>
          <w:rFonts w:asciiTheme="minorHAnsi" w:hAnsiTheme="minorHAnsi" w:cs="Arial"/>
          <w:b/>
          <w:sz w:val="20"/>
        </w:rPr>
      </w:pPr>
      <w:r w:rsidRPr="00FA147C">
        <w:rPr>
          <w:rFonts w:asciiTheme="minorHAnsi" w:hAnsiTheme="minorHAnsi" w:cs="Arial"/>
          <w:b/>
          <w:sz w:val="20"/>
        </w:rPr>
        <w:t>Tabela 1</w:t>
      </w:r>
    </w:p>
    <w:p w14:paraId="5E6B7A4D" w14:textId="77777777" w:rsidR="0087110A" w:rsidRPr="00FA147C" w:rsidRDefault="0087110A" w:rsidP="0087110A">
      <w:pPr>
        <w:rPr>
          <w:rFonts w:asciiTheme="minorHAnsi" w:hAnsiTheme="minorHAnsi" w:cs="Arial"/>
          <w:sz w:val="20"/>
        </w:rPr>
      </w:pPr>
    </w:p>
    <w:tbl>
      <w:tblPr>
        <w:tblStyle w:val="Tabela-EleganckiAW1"/>
        <w:tblW w:w="5000"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799"/>
        <w:gridCol w:w="7551"/>
      </w:tblGrid>
      <w:tr w:rsidR="0087110A" w:rsidRPr="00FA147C" w14:paraId="2FBE094C" w14:textId="77777777" w:rsidTr="00392E73">
        <w:trPr>
          <w:cnfStyle w:val="100000000000" w:firstRow="1" w:lastRow="0" w:firstColumn="0" w:lastColumn="0" w:oddVBand="0" w:evenVBand="0" w:oddHBand="0" w:evenHBand="0" w:firstRowFirstColumn="0" w:firstRowLastColumn="0" w:lastRowFirstColumn="0" w:lastRowLastColumn="0"/>
        </w:trPr>
        <w:tc>
          <w:tcPr>
            <w:tcW w:w="962" w:type="pct"/>
            <w:hideMark/>
          </w:tcPr>
          <w:p w14:paraId="5C3FD6A1"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Cecha</w:t>
            </w:r>
          </w:p>
        </w:tc>
        <w:tc>
          <w:tcPr>
            <w:tcW w:w="4038" w:type="pct"/>
            <w:hideMark/>
          </w:tcPr>
          <w:p w14:paraId="1819C598"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Opis Wymagań</w:t>
            </w:r>
          </w:p>
        </w:tc>
      </w:tr>
      <w:tr w:rsidR="0087110A" w:rsidRPr="00FA147C" w14:paraId="50327F96" w14:textId="77777777" w:rsidTr="00392E73">
        <w:tc>
          <w:tcPr>
            <w:tcW w:w="962" w:type="pct"/>
          </w:tcPr>
          <w:p w14:paraId="2877817A"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System</w:t>
            </w:r>
          </w:p>
        </w:tc>
        <w:tc>
          <w:tcPr>
            <w:tcW w:w="4038" w:type="pct"/>
          </w:tcPr>
          <w:p w14:paraId="0BAEE922" w14:textId="13C01ABC"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Zamawiający wymaga dostarczenia kompletnego systemu kopii zapasowej – to znaczy dedykowanego urządzenia (deduplikatora) do </w:t>
            </w:r>
            <w:r w:rsidR="00A40C95">
              <w:rPr>
                <w:rFonts w:asciiTheme="minorHAnsi" w:hAnsiTheme="minorHAnsi" w:cs="Arial"/>
                <w:sz w:val="20"/>
              </w:rPr>
              <w:t>przechowywania</w:t>
            </w:r>
            <w:r w:rsidR="00A40C95" w:rsidRPr="00FA147C">
              <w:rPr>
                <w:rFonts w:asciiTheme="minorHAnsi" w:hAnsiTheme="minorHAnsi" w:cs="Arial"/>
                <w:sz w:val="20"/>
              </w:rPr>
              <w:t xml:space="preserve"> </w:t>
            </w:r>
            <w:r w:rsidRPr="00FA147C">
              <w:rPr>
                <w:rFonts w:asciiTheme="minorHAnsi" w:hAnsiTheme="minorHAnsi" w:cs="Arial"/>
                <w:sz w:val="20"/>
              </w:rPr>
              <w:t xml:space="preserve">danych oraz licencji na oprogramowanie </w:t>
            </w:r>
            <w:r w:rsidR="00A40C95">
              <w:rPr>
                <w:rFonts w:asciiTheme="minorHAnsi" w:hAnsiTheme="minorHAnsi" w:cs="Arial"/>
                <w:sz w:val="20"/>
              </w:rPr>
              <w:t xml:space="preserve">tworzące </w:t>
            </w:r>
            <w:r w:rsidRPr="00FA147C">
              <w:rPr>
                <w:rFonts w:asciiTheme="minorHAnsi" w:hAnsiTheme="minorHAnsi" w:cs="Arial"/>
                <w:sz w:val="20"/>
              </w:rPr>
              <w:t xml:space="preserve"> kopie zapasowe z serwerów</w:t>
            </w:r>
          </w:p>
        </w:tc>
      </w:tr>
      <w:tr w:rsidR="0087110A" w:rsidRPr="00FA147C" w14:paraId="47C4C7B0" w14:textId="77777777" w:rsidTr="00392E73">
        <w:tc>
          <w:tcPr>
            <w:tcW w:w="962" w:type="pct"/>
          </w:tcPr>
          <w:p w14:paraId="3C558D36" w14:textId="77777777" w:rsidR="0087110A" w:rsidRPr="00FA147C" w:rsidRDefault="0087110A" w:rsidP="00FB75D0">
            <w:pPr>
              <w:jc w:val="left"/>
              <w:rPr>
                <w:rFonts w:asciiTheme="minorHAnsi" w:hAnsiTheme="minorHAnsi" w:cs="Arial"/>
                <w:sz w:val="20"/>
              </w:rPr>
            </w:pPr>
            <w:r w:rsidRPr="00FA147C">
              <w:rPr>
                <w:rFonts w:asciiTheme="minorHAnsi" w:hAnsiTheme="minorHAnsi" w:cs="Arial"/>
                <w:sz w:val="20"/>
              </w:rPr>
              <w:t>Obudowa deduplikatora</w:t>
            </w:r>
          </w:p>
        </w:tc>
        <w:tc>
          <w:tcPr>
            <w:tcW w:w="4038" w:type="pct"/>
          </w:tcPr>
          <w:p w14:paraId="391723CA"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Obudowa do montażu w szafie rack 19” za pomocą dostarczonych dedykowanych elementów. </w:t>
            </w:r>
          </w:p>
        </w:tc>
      </w:tr>
      <w:tr w:rsidR="0087110A" w:rsidRPr="00FA147C" w14:paraId="41882B61" w14:textId="77777777" w:rsidTr="00392E73">
        <w:tc>
          <w:tcPr>
            <w:tcW w:w="962" w:type="pct"/>
          </w:tcPr>
          <w:p w14:paraId="632D7377" w14:textId="77777777" w:rsidR="0087110A" w:rsidRPr="00FA147C" w:rsidRDefault="0087110A" w:rsidP="00FB75D0">
            <w:pPr>
              <w:jc w:val="left"/>
              <w:rPr>
                <w:rFonts w:asciiTheme="minorHAnsi" w:hAnsiTheme="minorHAnsi" w:cs="Arial"/>
                <w:sz w:val="20"/>
              </w:rPr>
            </w:pPr>
            <w:r w:rsidRPr="00FA147C">
              <w:rPr>
                <w:rFonts w:asciiTheme="minorHAnsi" w:hAnsiTheme="minorHAnsi" w:cs="Arial"/>
                <w:sz w:val="20"/>
              </w:rPr>
              <w:t>Wydajność deduplikatora dla tworzenia kopii zapasowej</w:t>
            </w:r>
          </w:p>
        </w:tc>
        <w:tc>
          <w:tcPr>
            <w:tcW w:w="4038" w:type="pct"/>
          </w:tcPr>
          <w:p w14:paraId="61B395D6" w14:textId="77777777" w:rsidR="0087110A" w:rsidRPr="00FA147C" w:rsidRDefault="0087110A" w:rsidP="00FB75D0">
            <w:pPr>
              <w:spacing w:after="160" w:line="259" w:lineRule="auto"/>
              <w:jc w:val="left"/>
              <w:rPr>
                <w:rFonts w:asciiTheme="minorHAnsi" w:hAnsiTheme="minorHAnsi" w:cs="Arial"/>
                <w:sz w:val="20"/>
              </w:rPr>
            </w:pPr>
            <w:r w:rsidRPr="00FA147C">
              <w:rPr>
                <w:rFonts w:asciiTheme="minorHAnsi" w:hAnsiTheme="minorHAnsi" w:cs="Arial"/>
                <w:sz w:val="20"/>
              </w:rPr>
              <w:t>Oferowany model deduplikatora musi osiągać w maksymalnej konfiguracji zagregowaną wydajność backupu co najmniej 6 TB/h (dane podawane przez producenta). Wydajność podawana bez uwzględnienia deduplikacji na źródle.</w:t>
            </w:r>
          </w:p>
        </w:tc>
      </w:tr>
      <w:tr w:rsidR="0087110A" w:rsidRPr="00FA147C" w14:paraId="0DFDA5DA" w14:textId="77777777" w:rsidTr="00392E73">
        <w:tc>
          <w:tcPr>
            <w:tcW w:w="962" w:type="pct"/>
          </w:tcPr>
          <w:p w14:paraId="1FF4ECA6" w14:textId="77777777" w:rsidR="0087110A" w:rsidRPr="00FA147C" w:rsidRDefault="0087110A" w:rsidP="00FB75D0">
            <w:pPr>
              <w:jc w:val="left"/>
              <w:rPr>
                <w:rFonts w:asciiTheme="minorHAnsi" w:hAnsiTheme="minorHAnsi" w:cs="Arial"/>
                <w:sz w:val="20"/>
              </w:rPr>
            </w:pPr>
            <w:bookmarkStart w:id="3" w:name="OLE_LINK4"/>
            <w:r w:rsidRPr="00FA147C">
              <w:rPr>
                <w:rFonts w:asciiTheme="minorHAnsi" w:hAnsiTheme="minorHAnsi" w:cs="Arial"/>
                <w:sz w:val="20"/>
              </w:rPr>
              <w:t>Wydajność deduplikatora dla odtworzenia kopii zapasowej</w:t>
            </w:r>
            <w:bookmarkEnd w:id="3"/>
          </w:p>
        </w:tc>
        <w:tc>
          <w:tcPr>
            <w:tcW w:w="4038" w:type="pct"/>
          </w:tcPr>
          <w:p w14:paraId="12276FEE" w14:textId="103EA8A6" w:rsidR="0087110A" w:rsidRPr="00FA147C" w:rsidRDefault="0087110A" w:rsidP="00FB75D0">
            <w:pPr>
              <w:spacing w:after="160" w:line="259" w:lineRule="auto"/>
              <w:jc w:val="left"/>
              <w:rPr>
                <w:rFonts w:asciiTheme="minorHAnsi" w:hAnsiTheme="minorHAnsi" w:cs="Arial"/>
                <w:sz w:val="20"/>
              </w:rPr>
            </w:pPr>
            <w:r w:rsidRPr="00FA147C">
              <w:rPr>
                <w:rFonts w:asciiTheme="minorHAnsi" w:hAnsiTheme="minorHAnsi" w:cs="Arial"/>
                <w:sz w:val="20"/>
              </w:rPr>
              <w:t>Oferowany model deduplikatora w oferowanej konfiguracji musi osiągać zagregowaną wydajność odtworzenia backupu co najmniej 1 TB/h</w:t>
            </w:r>
          </w:p>
        </w:tc>
      </w:tr>
      <w:tr w:rsidR="0087110A" w:rsidRPr="00FA147C" w14:paraId="7C0ED246" w14:textId="77777777" w:rsidTr="00392E73">
        <w:tc>
          <w:tcPr>
            <w:tcW w:w="962" w:type="pct"/>
          </w:tcPr>
          <w:p w14:paraId="56D04C00" w14:textId="77777777" w:rsidR="0087110A" w:rsidRPr="00FA147C" w:rsidRDefault="0087110A" w:rsidP="00FB75D0">
            <w:pPr>
              <w:jc w:val="left"/>
              <w:rPr>
                <w:rFonts w:asciiTheme="minorHAnsi" w:hAnsiTheme="minorHAnsi" w:cs="Arial"/>
                <w:sz w:val="20"/>
              </w:rPr>
            </w:pPr>
            <w:r w:rsidRPr="00FA147C">
              <w:rPr>
                <w:rFonts w:asciiTheme="minorHAnsi" w:hAnsiTheme="minorHAnsi" w:cs="Arial"/>
                <w:sz w:val="20"/>
              </w:rPr>
              <w:t>Wymagana przestrzeń na deduplikatorze</w:t>
            </w:r>
          </w:p>
        </w:tc>
        <w:tc>
          <w:tcPr>
            <w:tcW w:w="4038" w:type="pct"/>
          </w:tcPr>
          <w:p w14:paraId="1000717F"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Przestrzeń użytkowa po zbudowaniu RAID 6 z min. 1 dyskiem hot-spare lub przestrzenią hot-spare równą pojemności min. 1 dysku musi wynosić min. 70TB. </w:t>
            </w:r>
            <w:r w:rsidRPr="00FA147C">
              <w:rPr>
                <w:rFonts w:asciiTheme="minorHAnsi" w:hAnsiTheme="minorHAnsi" w:cs="Arial"/>
                <w:color w:val="000000"/>
                <w:sz w:val="20"/>
              </w:rPr>
              <w:t xml:space="preserve">Wymagana pojemność użytkowa rozumiana jest jako pojemność dostępna po </w:t>
            </w:r>
            <w:r w:rsidRPr="00FA147C">
              <w:rPr>
                <w:rFonts w:asciiTheme="minorHAnsi" w:hAnsiTheme="minorHAnsi" w:cs="Arial"/>
                <w:color w:val="000000"/>
                <w:sz w:val="20"/>
              </w:rPr>
              <w:lastRenderedPageBreak/>
              <w:t xml:space="preserve">konfiguracji RAID i odliczeniu rezerwy na dyski/przestrzeń </w:t>
            </w:r>
            <w:r w:rsidRPr="00FA147C">
              <w:rPr>
                <w:rFonts w:asciiTheme="minorHAnsi" w:hAnsiTheme="minorHAnsi" w:cs="Arial"/>
                <w:i/>
                <w:iCs/>
                <w:color w:val="000000"/>
                <w:sz w:val="20"/>
              </w:rPr>
              <w:t>spare</w:t>
            </w:r>
            <w:r w:rsidRPr="00FA147C">
              <w:rPr>
                <w:rFonts w:asciiTheme="minorHAnsi" w:hAnsiTheme="minorHAnsi" w:cs="Arial"/>
                <w:color w:val="000000"/>
                <w:sz w:val="20"/>
              </w:rPr>
              <w:t xml:space="preserve"> i dostępna dla hostów bez uwzględnienia jakichkolwiek mechanizmów kompresji, czy deduplikacji. Dodatkowo deduplikator musi posiadać pamięć SSD o pojemności minimum 5TB RAW.</w:t>
            </w:r>
          </w:p>
        </w:tc>
      </w:tr>
      <w:tr w:rsidR="0087110A" w:rsidRPr="00FA147C" w14:paraId="2E1018B2" w14:textId="77777777" w:rsidTr="00392E73">
        <w:tc>
          <w:tcPr>
            <w:tcW w:w="962" w:type="pct"/>
          </w:tcPr>
          <w:p w14:paraId="5FA5D006"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lastRenderedPageBreak/>
              <w:t>Zabezpieczenia RAID deduplikatora</w:t>
            </w:r>
          </w:p>
        </w:tc>
        <w:tc>
          <w:tcPr>
            <w:tcW w:w="4038" w:type="pct"/>
          </w:tcPr>
          <w:p w14:paraId="772A551C"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Dane przechowywane w obrębie podsystemu dyskowego urządzenia muszą być chronione za pomocą technologii RAID 6 lub równoważnej tolerującej jednoczesną awarię 2 dysków bez utraty danych. Urządzenie musi umożliwiać bezpieczne usuwanie danych zgodnie ze standardem </w:t>
            </w:r>
            <w:r w:rsidRPr="00FA147C">
              <w:rPr>
                <w:rFonts w:asciiTheme="minorHAnsi" w:hAnsiTheme="minorHAnsi" w:cs="Arial"/>
                <w:bCs/>
                <w:sz w:val="20"/>
              </w:rPr>
              <w:t>DoD 5220.22-M</w:t>
            </w:r>
            <w:r w:rsidRPr="00FA147C">
              <w:rPr>
                <w:rFonts w:asciiTheme="minorHAnsi" w:hAnsiTheme="minorHAnsi" w:cs="Arial"/>
                <w:b/>
                <w:bCs/>
                <w:sz w:val="20"/>
              </w:rPr>
              <w:t xml:space="preserve"> </w:t>
            </w:r>
            <w:r w:rsidRPr="00FA147C">
              <w:rPr>
                <w:rFonts w:asciiTheme="minorHAnsi" w:hAnsiTheme="minorHAnsi" w:cs="Arial"/>
                <w:sz w:val="20"/>
              </w:rPr>
              <w:t>poprzez mechanizm nadpisywania danych.</w:t>
            </w:r>
          </w:p>
        </w:tc>
      </w:tr>
      <w:tr w:rsidR="0087110A" w:rsidRPr="00FA147C" w14:paraId="0A77AEA8" w14:textId="77777777" w:rsidTr="00392E73">
        <w:tc>
          <w:tcPr>
            <w:tcW w:w="962" w:type="pct"/>
          </w:tcPr>
          <w:p w14:paraId="3A903284"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Możliwości rozbudowy deduplikatora</w:t>
            </w:r>
          </w:p>
        </w:tc>
        <w:tc>
          <w:tcPr>
            <w:tcW w:w="4038" w:type="pct"/>
          </w:tcPr>
          <w:p w14:paraId="48EEC13A"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Deduplikator musi umożliwiać rozbudowę przestrzeni na dane poprzez dodawanie dysków i półek dyskowych. Wymagana obsługa pojemności użytecznej, tj. z uwzględnieniem zabezpieczenia RAID, do min 290 TB. </w:t>
            </w:r>
          </w:p>
        </w:tc>
      </w:tr>
      <w:tr w:rsidR="0087110A" w:rsidRPr="00FA147C" w14:paraId="7F90BD65" w14:textId="77777777" w:rsidTr="00392E73">
        <w:tc>
          <w:tcPr>
            <w:tcW w:w="962" w:type="pct"/>
          </w:tcPr>
          <w:p w14:paraId="2C741BAE"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Pamięć Cache deduplikatora</w:t>
            </w:r>
          </w:p>
        </w:tc>
        <w:tc>
          <w:tcPr>
            <w:tcW w:w="4038" w:type="pct"/>
          </w:tcPr>
          <w:p w14:paraId="7D56A1F9"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Co najmniej 256GB pamięci cache na cały deduplikator (suma pamięci cache na wszystkich kontrolerach deduplikatora). Pamięć cache musi być zabezpieczona przed utratą danych w przypadku awarii zasilania. </w:t>
            </w:r>
          </w:p>
        </w:tc>
      </w:tr>
      <w:tr w:rsidR="0087110A" w:rsidRPr="00FA147C" w14:paraId="46C1AC71" w14:textId="77777777" w:rsidTr="00392E73">
        <w:tc>
          <w:tcPr>
            <w:tcW w:w="962" w:type="pct"/>
          </w:tcPr>
          <w:p w14:paraId="6EBEDA47"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Dostępne interfejsy w deduplikatorze</w:t>
            </w:r>
          </w:p>
        </w:tc>
        <w:tc>
          <w:tcPr>
            <w:tcW w:w="4038" w:type="pct"/>
          </w:tcPr>
          <w:p w14:paraId="2AC8C91C" w14:textId="77777777" w:rsidR="0087110A" w:rsidRPr="00FA147C" w:rsidRDefault="0087110A" w:rsidP="00FB75D0">
            <w:pPr>
              <w:spacing w:after="0" w:line="360" w:lineRule="auto"/>
              <w:rPr>
                <w:rFonts w:asciiTheme="minorHAnsi" w:hAnsiTheme="minorHAnsi" w:cs="Arial"/>
                <w:sz w:val="20"/>
              </w:rPr>
            </w:pPr>
            <w:r w:rsidRPr="00FA147C">
              <w:rPr>
                <w:rFonts w:asciiTheme="minorHAnsi" w:hAnsiTheme="minorHAnsi" w:cs="Arial"/>
                <w:sz w:val="20"/>
              </w:rPr>
              <w:t>Urządzenie musi posiadać minimum:</w:t>
            </w:r>
          </w:p>
          <w:p w14:paraId="73D7FFA0" w14:textId="77777777" w:rsidR="0087110A" w:rsidRPr="00FA147C" w:rsidRDefault="0087110A" w:rsidP="00FB75D0">
            <w:pPr>
              <w:spacing w:after="0" w:line="360" w:lineRule="auto"/>
              <w:jc w:val="left"/>
              <w:rPr>
                <w:rFonts w:asciiTheme="minorHAnsi" w:hAnsiTheme="minorHAnsi" w:cs="Arial"/>
                <w:sz w:val="20"/>
              </w:rPr>
            </w:pPr>
            <w:r w:rsidRPr="00FA147C">
              <w:rPr>
                <w:rFonts w:asciiTheme="minorHAnsi" w:hAnsiTheme="minorHAnsi" w:cs="Arial"/>
                <w:sz w:val="20"/>
              </w:rPr>
              <w:t>8 portów Ethernet 1Gb/s RJ-45</w:t>
            </w:r>
          </w:p>
          <w:p w14:paraId="40768FC4" w14:textId="77777777" w:rsidR="0087110A" w:rsidRPr="00FA147C" w:rsidRDefault="0087110A" w:rsidP="00FB75D0">
            <w:pPr>
              <w:spacing w:after="0" w:line="360" w:lineRule="auto"/>
              <w:jc w:val="left"/>
              <w:rPr>
                <w:rFonts w:asciiTheme="minorHAnsi" w:hAnsiTheme="minorHAnsi" w:cs="Arial"/>
                <w:sz w:val="20"/>
              </w:rPr>
            </w:pPr>
            <w:r w:rsidRPr="00FA147C">
              <w:rPr>
                <w:rFonts w:asciiTheme="minorHAnsi" w:hAnsiTheme="minorHAnsi" w:cs="Arial"/>
                <w:sz w:val="20"/>
              </w:rPr>
              <w:t>4 portów Ethernet 10Gb/s SFP+</w:t>
            </w:r>
          </w:p>
          <w:p w14:paraId="1F7628BF" w14:textId="77777777" w:rsidR="0087110A" w:rsidRPr="00FA147C" w:rsidRDefault="0087110A" w:rsidP="00FB75D0">
            <w:pPr>
              <w:spacing w:after="0" w:line="360" w:lineRule="auto"/>
              <w:jc w:val="left"/>
              <w:rPr>
                <w:rFonts w:asciiTheme="minorHAnsi" w:hAnsiTheme="minorHAnsi" w:cs="Arial"/>
                <w:sz w:val="20"/>
              </w:rPr>
            </w:pPr>
            <w:r w:rsidRPr="00FA147C">
              <w:rPr>
                <w:rFonts w:asciiTheme="minorHAnsi" w:hAnsiTheme="minorHAnsi" w:cs="Arial"/>
                <w:sz w:val="20"/>
              </w:rPr>
              <w:t>Urządzenie musi posiadać możliwość instalacji 8 portów FC 32Gb/s SFP+</w:t>
            </w:r>
          </w:p>
          <w:p w14:paraId="1305F95D" w14:textId="77777777" w:rsidR="0087110A" w:rsidRPr="00FA147C" w:rsidRDefault="0087110A" w:rsidP="00FB75D0">
            <w:pPr>
              <w:spacing w:after="0" w:line="360" w:lineRule="auto"/>
              <w:jc w:val="left"/>
              <w:rPr>
                <w:rFonts w:asciiTheme="minorHAnsi" w:hAnsiTheme="minorHAnsi" w:cs="Arial"/>
                <w:sz w:val="20"/>
              </w:rPr>
            </w:pPr>
          </w:p>
          <w:p w14:paraId="673C0D52" w14:textId="77777777" w:rsidR="0087110A" w:rsidRPr="00FA147C" w:rsidRDefault="0087110A" w:rsidP="00FB75D0">
            <w:pPr>
              <w:spacing w:after="0" w:line="360" w:lineRule="auto"/>
              <w:jc w:val="left"/>
              <w:rPr>
                <w:rFonts w:asciiTheme="minorHAnsi" w:hAnsiTheme="minorHAnsi" w:cs="Arial"/>
                <w:sz w:val="20"/>
              </w:rPr>
            </w:pPr>
            <w:r w:rsidRPr="00FA147C">
              <w:rPr>
                <w:rFonts w:asciiTheme="minorHAnsi" w:hAnsiTheme="minorHAnsi" w:cs="Arial"/>
                <w:sz w:val="20"/>
              </w:rPr>
              <w:t>Wszystkie porty SFP+ FC/Ethernet mają mieć wkładki optyczne Multimode</w:t>
            </w:r>
          </w:p>
          <w:p w14:paraId="05D7E6E6" w14:textId="77777777" w:rsidR="0087110A" w:rsidRPr="00FA147C" w:rsidRDefault="0087110A" w:rsidP="00FB75D0">
            <w:pPr>
              <w:spacing w:after="0" w:line="360" w:lineRule="auto"/>
              <w:jc w:val="left"/>
              <w:rPr>
                <w:rFonts w:asciiTheme="minorHAnsi" w:hAnsiTheme="minorHAnsi" w:cs="Arial"/>
                <w:sz w:val="20"/>
              </w:rPr>
            </w:pPr>
            <w:r w:rsidRPr="00FA147C">
              <w:rPr>
                <w:rFonts w:asciiTheme="minorHAnsi" w:hAnsiTheme="minorHAnsi" w:cs="Arial"/>
                <w:sz w:val="20"/>
              </w:rPr>
              <w:t>Na portach Ethernet muszą działać protokoły iSCSI, CIFS, NFS</w:t>
            </w:r>
          </w:p>
        </w:tc>
      </w:tr>
      <w:tr w:rsidR="0087110A" w:rsidRPr="00FA147C" w14:paraId="480776B1" w14:textId="77777777" w:rsidTr="00392E73">
        <w:tc>
          <w:tcPr>
            <w:tcW w:w="962" w:type="pct"/>
          </w:tcPr>
          <w:p w14:paraId="0F014F4F"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Obsługiwane protokoły przez deduplikator</w:t>
            </w:r>
          </w:p>
        </w:tc>
        <w:tc>
          <w:tcPr>
            <w:tcW w:w="4038" w:type="pct"/>
          </w:tcPr>
          <w:p w14:paraId="404C3E86"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Wymagane wsparcie dla FC, iSCSI, NFS, CIFS, oraz obsługa migracji danych do repozytorium protokołem S3. </w:t>
            </w:r>
          </w:p>
        </w:tc>
      </w:tr>
      <w:tr w:rsidR="0087110A" w:rsidRPr="00FA147C" w14:paraId="58919E08" w14:textId="77777777" w:rsidTr="00392E73">
        <w:tc>
          <w:tcPr>
            <w:tcW w:w="962" w:type="pct"/>
          </w:tcPr>
          <w:p w14:paraId="6161403C"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Zarządzanie deduplikatorem</w:t>
            </w:r>
          </w:p>
        </w:tc>
        <w:tc>
          <w:tcPr>
            <w:tcW w:w="4038" w:type="pct"/>
          </w:tcPr>
          <w:p w14:paraId="6AEA3920"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Zarządzanie deduplikatorem (wszystkimi kontrolerami) z poziomu pojedynczego interfejsu graficznego. Wymagane jest stałe monitorowanie stanu deduplikatora w tym monitorowanie wydajności obiektów takich jak:</w:t>
            </w:r>
          </w:p>
          <w:p w14:paraId="369E8014"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cały deduplikator</w:t>
            </w:r>
          </w:p>
          <w:p w14:paraId="79A4580D"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kontrolery</w:t>
            </w:r>
          </w:p>
          <w:p w14:paraId="30D2F44B"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CPU</w:t>
            </w:r>
          </w:p>
          <w:p w14:paraId="27F2A79B"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porty front-end</w:t>
            </w:r>
          </w:p>
          <w:p w14:paraId="2314AE4A"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porty logiczne</w:t>
            </w:r>
          </w:p>
          <w:p w14:paraId="6B6F2393"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dyski</w:t>
            </w:r>
          </w:p>
          <w:p w14:paraId="21B49E50"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file systemy</w:t>
            </w:r>
          </w:p>
          <w:p w14:paraId="292A29B9" w14:textId="77777777" w:rsidR="0087110A" w:rsidRPr="00FA147C" w:rsidRDefault="0087110A" w:rsidP="00FB75D0">
            <w:pPr>
              <w:rPr>
                <w:rFonts w:asciiTheme="minorHAnsi" w:hAnsiTheme="minorHAnsi" w:cs="Arial"/>
                <w:sz w:val="20"/>
              </w:rPr>
            </w:pPr>
          </w:p>
          <w:p w14:paraId="518F5CB2"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Pod kątem parametrów takich jak:</w:t>
            </w:r>
          </w:p>
          <w:p w14:paraId="03E4053D"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operacje wejścia/wyjścia IOPS</w:t>
            </w:r>
          </w:p>
          <w:p w14:paraId="5DA9B034"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przepustowość (KB/s lub MB/s)</w:t>
            </w:r>
          </w:p>
          <w:p w14:paraId="51D999D3"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czas odpowiedzi (latency)</w:t>
            </w:r>
          </w:p>
          <w:p w14:paraId="23EF12D0"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lastRenderedPageBreak/>
              <w:t>- średnie użycie (w % dla CPU)</w:t>
            </w:r>
          </w:p>
          <w:p w14:paraId="25B18344" w14:textId="77777777" w:rsidR="0087110A" w:rsidRPr="00FA147C" w:rsidRDefault="0087110A" w:rsidP="00FB75D0">
            <w:pPr>
              <w:rPr>
                <w:rFonts w:asciiTheme="minorHAnsi" w:hAnsiTheme="minorHAnsi" w:cs="Arial"/>
                <w:sz w:val="20"/>
              </w:rPr>
            </w:pPr>
          </w:p>
          <w:p w14:paraId="2605890B"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Wymagana możliwość dostępu do historycznych danych wydajnościowych z poziomu GUI urządzenia do co najmniej 2 lat wstecz lub jako równoważne dostarczenie fizycznego serwera z oprogramowaniem umożliwiającym zbieranie i przeglądanie danych historycznych. </w:t>
            </w:r>
          </w:p>
          <w:p w14:paraId="3D672D75" w14:textId="77777777" w:rsidR="0087110A" w:rsidRPr="00FA147C" w:rsidRDefault="0087110A" w:rsidP="00FB75D0">
            <w:pPr>
              <w:rPr>
                <w:rFonts w:asciiTheme="minorHAnsi" w:hAnsiTheme="minorHAnsi" w:cs="Arial"/>
                <w:sz w:val="20"/>
              </w:rPr>
            </w:pPr>
          </w:p>
          <w:p w14:paraId="3A47BFC4"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Wymagana możliwość monitorowania poboru prądu deduplikatora z rozbiciem na miesiące oraz dni. Pobór prądu podawany w kWh.</w:t>
            </w:r>
          </w:p>
          <w:p w14:paraId="6D948902" w14:textId="77777777" w:rsidR="0087110A" w:rsidRPr="00FA147C" w:rsidRDefault="0087110A" w:rsidP="00FB75D0">
            <w:pPr>
              <w:rPr>
                <w:rFonts w:asciiTheme="minorHAnsi" w:hAnsiTheme="minorHAnsi" w:cs="Arial"/>
                <w:sz w:val="20"/>
              </w:rPr>
            </w:pPr>
          </w:p>
          <w:p w14:paraId="76590484"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Wymagany dostęp do prognozy zużycia przestrzeni.</w:t>
            </w:r>
          </w:p>
          <w:p w14:paraId="500F2048" w14:textId="77777777" w:rsidR="0087110A" w:rsidRPr="00FA147C" w:rsidRDefault="0087110A" w:rsidP="00FB75D0">
            <w:pPr>
              <w:rPr>
                <w:rFonts w:asciiTheme="minorHAnsi" w:hAnsiTheme="minorHAnsi" w:cs="Arial"/>
                <w:sz w:val="20"/>
              </w:rPr>
            </w:pPr>
          </w:p>
          <w:p w14:paraId="6F564C62"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Wymagana możliwość tworzenia wielu użytkowników deduplikatora w oparciu o wbudowane role. Rozwiązanie musi umożliwiać tworzenie własnych ról.</w:t>
            </w:r>
          </w:p>
          <w:p w14:paraId="5CBD50D3" w14:textId="77777777" w:rsidR="0087110A" w:rsidRPr="00FA147C" w:rsidRDefault="0087110A" w:rsidP="00FB75D0">
            <w:pPr>
              <w:rPr>
                <w:rFonts w:asciiTheme="minorHAnsi" w:hAnsiTheme="minorHAnsi" w:cs="Arial"/>
                <w:sz w:val="20"/>
              </w:rPr>
            </w:pPr>
          </w:p>
          <w:p w14:paraId="65D286FE" w14:textId="28EA7AE7" w:rsidR="0087110A" w:rsidRPr="00FA147C" w:rsidRDefault="0087110A" w:rsidP="00FB75D0">
            <w:pPr>
              <w:rPr>
                <w:rFonts w:asciiTheme="minorHAnsi" w:hAnsiTheme="minorHAnsi" w:cs="Arial"/>
                <w:sz w:val="20"/>
              </w:rPr>
            </w:pPr>
            <w:r w:rsidRPr="00FA147C">
              <w:rPr>
                <w:rFonts w:asciiTheme="minorHAnsi" w:hAnsiTheme="minorHAnsi" w:cs="Arial"/>
                <w:sz w:val="20"/>
              </w:rPr>
              <w:t>Jeżeli do obsługi powyższej funkcjonalności wymagane są dodatkowe licencje, ich dostarczenie jest wymagane .</w:t>
            </w:r>
            <w:r w:rsidR="00A40C95">
              <w:rPr>
                <w:rFonts w:asciiTheme="minorHAnsi" w:hAnsiTheme="minorHAnsi" w:cs="Arial"/>
                <w:sz w:val="20"/>
              </w:rPr>
              <w:t xml:space="preserve"> wraz z dostawą deduplikatora</w:t>
            </w:r>
          </w:p>
        </w:tc>
      </w:tr>
      <w:tr w:rsidR="0087110A" w:rsidRPr="00FA147C" w14:paraId="6C7547E9" w14:textId="77777777" w:rsidTr="00392E73">
        <w:tc>
          <w:tcPr>
            <w:tcW w:w="962" w:type="pct"/>
          </w:tcPr>
          <w:p w14:paraId="656877FD"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lastRenderedPageBreak/>
              <w:t>Redukcja danych na poziomie deduplikatora</w:t>
            </w:r>
          </w:p>
        </w:tc>
        <w:tc>
          <w:tcPr>
            <w:tcW w:w="4038" w:type="pct"/>
          </w:tcPr>
          <w:p w14:paraId="73D01201"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Urządzenie musi deduplikować dane inline przed zapisem na nośnik dyskowy. Technologia deduplikacji musi wykorzystywać algorytm bazujący na zmiennym bloku. Algorytm ten musi samoczynnie i automatycznie dopasowywać się do otrzymywanego strumienia danych. Proces deduplikacji musi odbywać się inline – w pamięci urządzenia, przed zapisem danych na nośnik dyskowy. Dane muszą być poddane także procesowi kompresji. Jeżeli do obsługi powyższych funkcjonalności wymagane są dodatkowe licencje, należy je dostarczyć dla całej pojemności urządzenia. </w:t>
            </w:r>
          </w:p>
          <w:p w14:paraId="104F9C30" w14:textId="77777777" w:rsidR="0087110A" w:rsidRPr="00FA147C" w:rsidRDefault="0087110A" w:rsidP="00FB75D0">
            <w:pPr>
              <w:rPr>
                <w:rFonts w:asciiTheme="minorHAnsi" w:hAnsiTheme="minorHAnsi" w:cs="Arial"/>
                <w:sz w:val="20"/>
              </w:rPr>
            </w:pPr>
          </w:p>
          <w:p w14:paraId="59279F99"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Wymagana także obsługa deduplikacji na źródle, co pozwala ograniczyć zużycie sieci.</w:t>
            </w:r>
          </w:p>
          <w:p w14:paraId="60229955" w14:textId="77777777" w:rsidR="0087110A" w:rsidRPr="00FA147C" w:rsidRDefault="0087110A" w:rsidP="00FB75D0">
            <w:pPr>
              <w:rPr>
                <w:rFonts w:asciiTheme="minorHAnsi" w:hAnsiTheme="minorHAnsi" w:cs="Arial"/>
                <w:sz w:val="20"/>
              </w:rPr>
            </w:pPr>
          </w:p>
          <w:p w14:paraId="2A61292C"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Musi być oficjalne wsparcie producenta dla oferowanego deduplikatora maksymalnego stopnia redukcji danych min. 60:1</w:t>
            </w:r>
          </w:p>
        </w:tc>
      </w:tr>
      <w:tr w:rsidR="0087110A" w:rsidRPr="00FA147C" w14:paraId="0E7BBC06" w14:textId="77777777" w:rsidTr="00392E73">
        <w:tc>
          <w:tcPr>
            <w:tcW w:w="962" w:type="pct"/>
          </w:tcPr>
          <w:p w14:paraId="6A54A80F"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Kontrola zasobów plikowych na deduplikatorze</w:t>
            </w:r>
          </w:p>
        </w:tc>
        <w:tc>
          <w:tcPr>
            <w:tcW w:w="4038" w:type="pct"/>
          </w:tcPr>
          <w:p w14:paraId="4CC02F60"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Wymagana możliwość skonfigurowania tzw. quoty ograniczającej wystawione zasoby plikowe. Wymagana możliwość ograniczenia użytkownikom przestrzeni, z której mogą korzystać lub liczby plików jakie mogą być przechowywane na udostępnionej przestrzeni. </w:t>
            </w:r>
          </w:p>
          <w:p w14:paraId="03E64D3F" w14:textId="77777777" w:rsidR="0087110A" w:rsidRPr="00FA147C" w:rsidRDefault="0087110A" w:rsidP="00FB75D0">
            <w:pPr>
              <w:rPr>
                <w:rFonts w:asciiTheme="minorHAnsi" w:hAnsiTheme="minorHAnsi" w:cs="Arial"/>
                <w:sz w:val="20"/>
              </w:rPr>
            </w:pPr>
          </w:p>
          <w:p w14:paraId="352E156C"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Wymagana możliwość skonfigurowania polityki filtrowania zapisywanych plików poprzez wykluczenie ich konkretnych rozszerzeń.</w:t>
            </w:r>
          </w:p>
          <w:p w14:paraId="43F8982A" w14:textId="77777777" w:rsidR="0087110A" w:rsidRPr="00FA147C" w:rsidRDefault="0087110A" w:rsidP="00FB75D0">
            <w:pPr>
              <w:rPr>
                <w:rFonts w:asciiTheme="minorHAnsi" w:hAnsiTheme="minorHAnsi" w:cs="Arial"/>
                <w:sz w:val="20"/>
              </w:rPr>
            </w:pPr>
          </w:p>
          <w:p w14:paraId="32F26B7C"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Wymagana możliwość ograniczenia dostępu do udostępnionych udziałów CIFS/NFS poprzez zdefiniowanie adresów IP lub ich przedziałów, które będą miały do nich dostęp.</w:t>
            </w:r>
          </w:p>
          <w:p w14:paraId="191240ED" w14:textId="77777777" w:rsidR="0087110A" w:rsidRPr="00FA147C" w:rsidRDefault="0087110A" w:rsidP="00FB75D0">
            <w:pPr>
              <w:rPr>
                <w:rFonts w:asciiTheme="minorHAnsi" w:hAnsiTheme="minorHAnsi" w:cs="Arial"/>
                <w:sz w:val="20"/>
              </w:rPr>
            </w:pPr>
          </w:p>
          <w:p w14:paraId="6C518582" w14:textId="28F21FAB" w:rsidR="0087110A" w:rsidRPr="00FA147C" w:rsidRDefault="0087110A" w:rsidP="00FB75D0">
            <w:pPr>
              <w:rPr>
                <w:rFonts w:asciiTheme="minorHAnsi" w:hAnsiTheme="minorHAnsi" w:cs="Arial"/>
                <w:sz w:val="20"/>
              </w:rPr>
            </w:pPr>
            <w:r w:rsidRPr="00FA147C">
              <w:rPr>
                <w:rFonts w:asciiTheme="minorHAnsi" w:hAnsiTheme="minorHAnsi" w:cs="Arial"/>
                <w:sz w:val="20"/>
              </w:rPr>
              <w:lastRenderedPageBreak/>
              <w:t xml:space="preserve">Dostarczenie powyższych funkcjonalności jest wymagane </w:t>
            </w:r>
            <w:r w:rsidR="00F82615">
              <w:rPr>
                <w:rFonts w:asciiTheme="minorHAnsi" w:hAnsiTheme="minorHAnsi" w:cs="Arial"/>
                <w:sz w:val="20"/>
              </w:rPr>
              <w:t>wraz z dostawą deduplikatora.</w:t>
            </w:r>
          </w:p>
        </w:tc>
      </w:tr>
      <w:tr w:rsidR="0087110A" w:rsidRPr="00FA147C" w14:paraId="2CAF670E" w14:textId="77777777" w:rsidTr="00392E73">
        <w:tc>
          <w:tcPr>
            <w:tcW w:w="962" w:type="pct"/>
          </w:tcPr>
          <w:p w14:paraId="3BE8E5F5"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lastRenderedPageBreak/>
              <w:t>Ochrona zasobów plikowych na deduplikatorze</w:t>
            </w:r>
          </w:p>
        </w:tc>
        <w:tc>
          <w:tcPr>
            <w:tcW w:w="4038" w:type="pct"/>
          </w:tcPr>
          <w:p w14:paraId="70CAAF2F" w14:textId="5E79FF96"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Tworzenie na żądanie tzw. migawkowej kopii danych (ang. snapshot) file systemów w ramach deduplikatora do wykorzystania w celu np. wykonywania kopii zapasowych. Wymagana jest możliwość utworzenia harmonogramu snapshotów. Deduplikator musi umożliwiać utworzenie min 10 000 snapshotów. Musi być możliwość utworzenia snapshotów których nie można modyfikować ani usunąć przez wybrany okres czasu bez odpowiednich uprawnień celem przywrócenia danych w przypadku ataku ransomware. Dostarczenie tej funkcjonalności jest wymagane </w:t>
            </w:r>
            <w:r w:rsidR="00F82615">
              <w:rPr>
                <w:rFonts w:asciiTheme="minorHAnsi" w:hAnsiTheme="minorHAnsi" w:cs="Arial"/>
                <w:sz w:val="20"/>
              </w:rPr>
              <w:t>wraz z dostawą deduplikatora</w:t>
            </w:r>
            <w:r w:rsidRPr="00FA147C">
              <w:rPr>
                <w:rFonts w:asciiTheme="minorHAnsi" w:hAnsiTheme="minorHAnsi" w:cs="Arial"/>
                <w:sz w:val="20"/>
              </w:rPr>
              <w:t xml:space="preserve"> na całą przestrzeń dyskową i na maksymalną liczbę snapshotów obsługiwanych przez oferowany model deduplikatora.</w:t>
            </w:r>
          </w:p>
          <w:p w14:paraId="2AAF8D58" w14:textId="77777777" w:rsidR="0087110A" w:rsidRPr="00FA147C" w:rsidRDefault="0087110A" w:rsidP="00FB75D0">
            <w:pPr>
              <w:rPr>
                <w:rFonts w:asciiTheme="minorHAnsi" w:hAnsiTheme="minorHAnsi" w:cs="Arial"/>
                <w:sz w:val="20"/>
              </w:rPr>
            </w:pPr>
          </w:p>
          <w:p w14:paraId="2BCE38C5" w14:textId="5CF39DE3" w:rsidR="0087110A" w:rsidRPr="00FA147C" w:rsidRDefault="0087110A" w:rsidP="00FB75D0">
            <w:pPr>
              <w:rPr>
                <w:rFonts w:asciiTheme="minorHAnsi" w:hAnsiTheme="minorHAnsi" w:cs="Arial"/>
                <w:sz w:val="20"/>
              </w:rPr>
            </w:pPr>
            <w:r w:rsidRPr="00FA147C">
              <w:rPr>
                <w:rFonts w:asciiTheme="minorHAnsi" w:hAnsiTheme="minorHAnsi" w:cs="Arial"/>
                <w:sz w:val="20"/>
              </w:rPr>
              <w:t xml:space="preserve">Wymagana możliwość zablokowania plików przed modyfikacją lub usunięciem (WORM). Dostarczenie licencji na tą funkcjonalność jest wymagane </w:t>
            </w:r>
            <w:r w:rsidR="00F82615">
              <w:rPr>
                <w:rFonts w:asciiTheme="minorHAnsi" w:hAnsiTheme="minorHAnsi" w:cs="Arial"/>
                <w:sz w:val="20"/>
              </w:rPr>
              <w:t>wraz z dostawą deduplikatora.</w:t>
            </w:r>
          </w:p>
          <w:p w14:paraId="2164A234" w14:textId="77777777" w:rsidR="0087110A" w:rsidRPr="00FA147C" w:rsidRDefault="0087110A" w:rsidP="00FB75D0">
            <w:pPr>
              <w:rPr>
                <w:rFonts w:asciiTheme="minorHAnsi" w:hAnsiTheme="minorHAnsi" w:cs="Arial"/>
                <w:sz w:val="20"/>
              </w:rPr>
            </w:pPr>
          </w:p>
        </w:tc>
      </w:tr>
      <w:tr w:rsidR="0087110A" w:rsidRPr="00FA147C" w14:paraId="17A7AF20" w14:textId="77777777" w:rsidTr="00392E73">
        <w:tc>
          <w:tcPr>
            <w:tcW w:w="962" w:type="pct"/>
          </w:tcPr>
          <w:p w14:paraId="60114679"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Replikacja danych  deduplikatora</w:t>
            </w:r>
          </w:p>
        </w:tc>
        <w:tc>
          <w:tcPr>
            <w:tcW w:w="4038" w:type="pct"/>
          </w:tcPr>
          <w:p w14:paraId="11C96740"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Urządzenie musi umożliwiać replikację danych do drugiego urządzenia w ramach tej samej rodziny oferowanego deduplikatora. Replikacja musi się odbywać w trybie asynchronicznym. Wymagana możliwość ograniczenia ilości przesyłanych danych poprzez ich deduplikację oraz kompresję.</w:t>
            </w:r>
          </w:p>
          <w:p w14:paraId="768ACD2D" w14:textId="77777777" w:rsidR="0087110A" w:rsidRPr="00FA147C" w:rsidRDefault="0087110A" w:rsidP="00FB75D0">
            <w:pPr>
              <w:rPr>
                <w:rFonts w:asciiTheme="minorHAnsi" w:hAnsiTheme="minorHAnsi" w:cs="Arial"/>
                <w:sz w:val="20"/>
              </w:rPr>
            </w:pPr>
          </w:p>
          <w:p w14:paraId="45EE29C3"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Deduplikator musi umożliwiać konfigurację harmonogramu replikacji poprzez określenie interwału (np. replikacja co 60min) lub konkretnych okien czasowych (np. w każdą sobotę o godz 20:00).</w:t>
            </w:r>
          </w:p>
          <w:p w14:paraId="5CC505C4" w14:textId="77777777" w:rsidR="0087110A" w:rsidRPr="00FA147C" w:rsidRDefault="0087110A" w:rsidP="00FB75D0">
            <w:pPr>
              <w:rPr>
                <w:rFonts w:asciiTheme="minorHAnsi" w:hAnsiTheme="minorHAnsi" w:cs="Arial"/>
                <w:sz w:val="20"/>
              </w:rPr>
            </w:pPr>
          </w:p>
          <w:p w14:paraId="0D7B0793"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Wymagana możliwość zastosowania funkcjonalności typu AirGap czyli fizyczne wyłączanie portów dedykowanych do replikacji w czasie kiedy replikacja nie jest wykonywana. Dopuszcza się realizację tej funkcjonalności poprzez zastosowanie dodatkowego oprogramowania.</w:t>
            </w:r>
          </w:p>
          <w:p w14:paraId="43DE3DF0" w14:textId="77777777" w:rsidR="0087110A" w:rsidRPr="00FA147C" w:rsidRDefault="0087110A" w:rsidP="00FB75D0">
            <w:pPr>
              <w:rPr>
                <w:rFonts w:asciiTheme="minorHAnsi" w:hAnsiTheme="minorHAnsi" w:cs="Arial"/>
                <w:sz w:val="20"/>
              </w:rPr>
            </w:pPr>
          </w:p>
          <w:p w14:paraId="624E5DD0" w14:textId="183CE833" w:rsidR="00F82615" w:rsidRDefault="00F82615" w:rsidP="00F82615">
            <w:pPr>
              <w:rPr>
                <w:rFonts w:ascii="Arial" w:hAnsi="Arial" w:cs="Arial"/>
                <w:sz w:val="16"/>
                <w:szCs w:val="16"/>
              </w:rPr>
            </w:pPr>
            <w:bookmarkStart w:id="4" w:name="OLE_LINK1"/>
            <w:r>
              <w:rPr>
                <w:rFonts w:ascii="Arial" w:hAnsi="Arial" w:cs="Arial"/>
                <w:sz w:val="16"/>
                <w:szCs w:val="16"/>
              </w:rPr>
              <w:t xml:space="preserve"> </w:t>
            </w:r>
          </w:p>
          <w:bookmarkEnd w:id="4"/>
          <w:p w14:paraId="3FFAE81E" w14:textId="7371CCAD" w:rsidR="0087110A" w:rsidRPr="00FA147C" w:rsidRDefault="0087110A" w:rsidP="00FB75D0">
            <w:pPr>
              <w:rPr>
                <w:rFonts w:asciiTheme="minorHAnsi" w:hAnsiTheme="minorHAnsi" w:cs="Arial"/>
                <w:sz w:val="20"/>
              </w:rPr>
            </w:pPr>
          </w:p>
        </w:tc>
      </w:tr>
      <w:tr w:rsidR="0087110A" w:rsidRPr="00FA147C" w14:paraId="028E13D3" w14:textId="77777777" w:rsidTr="00392E73">
        <w:tc>
          <w:tcPr>
            <w:tcW w:w="962" w:type="pct"/>
          </w:tcPr>
          <w:p w14:paraId="751CD848" w14:textId="77777777" w:rsidR="0087110A" w:rsidRPr="00FA147C" w:rsidRDefault="0087110A" w:rsidP="00FB75D0">
            <w:pPr>
              <w:rPr>
                <w:rFonts w:asciiTheme="minorHAnsi" w:hAnsiTheme="minorHAnsi" w:cs="Arial"/>
                <w:sz w:val="20"/>
              </w:rPr>
            </w:pPr>
            <w:r w:rsidRPr="00FA147C">
              <w:rPr>
                <w:rFonts w:asciiTheme="minorHAnsi" w:hAnsiTheme="minorHAnsi" w:cs="Arial"/>
                <w:sz w:val="20"/>
              </w:rPr>
              <w:t>Oprogramowanie do tworzenia kopii zapasowej</w:t>
            </w:r>
          </w:p>
        </w:tc>
        <w:tc>
          <w:tcPr>
            <w:tcW w:w="4038" w:type="pct"/>
          </w:tcPr>
          <w:p w14:paraId="6EA247AD" w14:textId="77777777" w:rsidR="0087110A" w:rsidRPr="00FA147C" w:rsidRDefault="0087110A" w:rsidP="00FB75D0">
            <w:pPr>
              <w:widowControl w:val="0"/>
              <w:autoSpaceDE w:val="0"/>
              <w:autoSpaceDN w:val="0"/>
              <w:spacing w:after="0" w:line="360" w:lineRule="auto"/>
              <w:ind w:right="20"/>
              <w:contextualSpacing w:val="0"/>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 xml:space="preserve">Oprogramowanie musi wspierać backup dla minimum 1000 VM lub 44 procesorów fizycznych. </w:t>
            </w:r>
          </w:p>
          <w:p w14:paraId="62A4AC0F" w14:textId="496ECAF9"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 xml:space="preserve">Licencje </w:t>
            </w:r>
            <w:r w:rsidR="008629C1" w:rsidRPr="00FA147C">
              <w:rPr>
                <w:rFonts w:asciiTheme="minorHAnsi" w:eastAsia="Calibri" w:hAnsiTheme="minorHAnsi" w:cs="Arial"/>
                <w:sz w:val="20"/>
                <w:lang w:val="cs-CZ" w:eastAsia="pl-PL"/>
              </w:rPr>
              <w:t>o</w:t>
            </w:r>
            <w:r w:rsidRPr="00FA147C">
              <w:rPr>
                <w:rFonts w:asciiTheme="minorHAnsi" w:eastAsia="Calibri" w:hAnsiTheme="minorHAnsi" w:cs="Arial"/>
                <w:sz w:val="20"/>
                <w:lang w:val="cs-CZ" w:eastAsia="pl-PL"/>
              </w:rPr>
              <w:t>programowania do kopii zapasowej muszą być licencjami wieczystymi oraz wspierać minimum 44 fizyczne procesory zainstalowane w zwirtualizowanych serwerach. Dodatkowo licencje muszą być objęte bezpośrednim wsparciem producenta w trybie 5x8 na okres minimum 36 miesięcy.</w:t>
            </w:r>
          </w:p>
          <w:p w14:paraId="6269B129" w14:textId="77777777" w:rsidR="0087110A" w:rsidRPr="00FA147C" w:rsidRDefault="0087110A" w:rsidP="00FB75D0">
            <w:pPr>
              <w:rPr>
                <w:rFonts w:asciiTheme="minorHAnsi" w:eastAsia="Calibri" w:hAnsiTheme="minorHAnsi" w:cs="Arial"/>
                <w:sz w:val="20"/>
                <w:lang w:val="cs-CZ" w:eastAsia="pl-PL"/>
              </w:rPr>
            </w:pPr>
          </w:p>
          <w:p w14:paraId="07E73357" w14:textId="77777777" w:rsidR="00216546"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 xml:space="preserve">Oprogramowanie musi być produktem przeznaczonym do obsługi środowisk DataCenter. Oferowany produkt musi znajdować się w kwadracie liderów Gartner Magic Quadrant for Data Center Backup and Recovery Solutions oraz na ogólnie </w:t>
            </w:r>
            <w:r w:rsidRPr="00FA147C">
              <w:rPr>
                <w:rFonts w:asciiTheme="minorHAnsi" w:eastAsia="Calibri" w:hAnsiTheme="minorHAnsi" w:cs="Arial"/>
                <w:sz w:val="20"/>
                <w:lang w:val="cs-CZ" w:eastAsia="pl-PL"/>
              </w:rPr>
              <w:lastRenderedPageBreak/>
              <w:t xml:space="preserve">dostępnej liście referencyjnej Gartner Peer Insights: i spełniać minimalne wymaganie: - minimalna liczba referencji 500, </w:t>
            </w:r>
          </w:p>
          <w:p w14:paraId="0BBE5973" w14:textId="792B2995"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 minimalna ocena z referencji 4,6.</w:t>
            </w:r>
          </w:p>
          <w:p w14:paraId="207A454E"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współpracować z infrastrukturą VMware w wersji 7.x, 8.x i 9.0 oraz Microsoft Hyper-V 2016, 2019, 2022 i 2025. Wszystkie funkcjonalności w specyfikacji muszą być dostępne dla powyższych platform wirtualizacyjnych, chyba, że wyszczególniono inaczej</w:t>
            </w:r>
          </w:p>
          <w:p w14:paraId="0DC1817A"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współpracować z infrastrukturą Nutanix w wersji 6.8.x - 7.3, Red Hat Virtualization 4.4 SP1, Oracle Linux Virtualization  4.5.5 lub nowszy, Proxmox VE 8.2, 8.3, 8.4 lub 9.0 oraz Scale Computing HyperCore 9.4.32.218226 – 9.5.x. Jeżeli do obsługi wymienionych platform wymagane są dodatkowe licencje, nie są one przedmiotem niniejszego postępowania ale musi istnieć możliwość rozbudowy/migracji w przyszłości.</w:t>
            </w:r>
          </w:p>
          <w:p w14:paraId="5390EB61"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zapewniać tworzenie kopii zapasowych z sieciowych urządzeń plikowych NAS opartych o SMB, CIFS i/lub NFS, obiektowych pamięci masowych kompatybilnych z Microsoft Azure, Microsoft Azure Data Lake, AWS S3 i urządzeń kompatybilnych z protokołem S3  oraz bezpośrednio z serwerów plikowych opartych o Windows i Linux.  Jeżeli do obsługi wymienionych platform wymagane są dodatkowe licencje, nie są one przedmiotem niniejszego postępowania ale musi istnieć możliwość rozbudowy w przyszłości.</w:t>
            </w:r>
          </w:p>
          <w:p w14:paraId="79A2BBB5"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być niezależne sprzętowo i umożliwiać wykorzystanie dowolnej platformy serwerowej i dyskowej</w:t>
            </w:r>
          </w:p>
          <w:p w14:paraId="7307F5ED"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tworzyć “samowystarczalne” archiwa do odzyskania których nie wymagana jest osobna baza danych z metadanymi deduplikowanych bloków</w:t>
            </w:r>
          </w:p>
          <w:p w14:paraId="137289F3"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nie może przechowywać danych o deduplikacji w centralnej bazie. Utrata bazy danych używanej przez oprogramowanie nie może prowadzić do utraty możliwości odtworzenia backupu. Metadane deduplikacji muszą być przechowywane w plikach backupu.</w:t>
            </w:r>
          </w:p>
          <w:p w14:paraId="2C22E4B4"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zapewniać warstwę abstrakcji nad poszczególnymi urządzeniami pamięci masowej, pozwalając utworzyć wiele wirtualnych puli pamięci na kopie zapasowe. Wymagane jest wsparcie dla co najmniej 3 pamięci masowych w pojedyńczej puli.</w:t>
            </w:r>
          </w:p>
          <w:p w14:paraId="51AC946C"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pozwalać na przechowywanie kopii bezpieczeństwa w chmurze producenta.</w:t>
            </w:r>
          </w:p>
          <w:p w14:paraId="64C6D490"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pozwalać na tworzenie repozytorium kopii zapasowych bezpośrednio na zasobach Microsoft Azure Blob, Google Cloud Storage, Amazon S3, Wasabi Cloud Storage, IBM Cloud Storage, 11:11 Cloud Storage oraz na innych kompatybilnych z S3 przestrzeniach obiektowych.</w:t>
            </w:r>
          </w:p>
          <w:p w14:paraId="3AD596A4"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 xml:space="preserve">Oprogramowanie musi wspierać niezmienność kopii zapasowych na potrzeby ochrony przed ransomware poprzez niedopuszczenie do usunięcia lub modyfikacji kopii zapasowej w zadanym okresie czasu. </w:t>
            </w:r>
          </w:p>
          <w:p w14:paraId="2F00F4DC"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nie może instalować żadnych stałych agentów wymagających wdrożenia czy upgradowania do backupu oraz odtwarzania obrazu maszyny wirtualnej</w:t>
            </w:r>
          </w:p>
          <w:p w14:paraId="52BE693F"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lastRenderedPageBreak/>
              <w:t>Oprogramowanie musi mieć wbudowane mechanizmy backupu konfiguracji w celu prostego odtworzenia systemu po całkowitej reinstalacji</w:t>
            </w:r>
          </w:p>
          <w:p w14:paraId="6DD8811B"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mieć wbudowane mechanizmy szyfrowania zarówno plików z backupami jak i transmisji sieciowej. Włączenie szyfrowania nie może skutkować utratą jakiejkolwiek funkcjonalności wymienionej w tej specyfikacji</w:t>
            </w:r>
          </w:p>
          <w:p w14:paraId="25DDE63E"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posiadać mechanizmy chroniące przed utratą hasła szyfrowania</w:t>
            </w:r>
          </w:p>
          <w:p w14:paraId="4CD68EB2"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posiadać natywne mechanizmy uwierzytelniania wieloskładnikowego (MFA) w celu dostępu do konsoli administracyjnej</w:t>
            </w:r>
          </w:p>
          <w:p w14:paraId="5E2D2904"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umożliwiać integracje z różnymi dostarczycielami tożsamości (IdP - Identity Providers) z wykorzystaniem protokołu SAML (np. Entra ID, Okta)</w:t>
            </w:r>
          </w:p>
          <w:p w14:paraId="058B5CF1"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posiadać integracje z systemami typu SIEM</w:t>
            </w:r>
          </w:p>
          <w:p w14:paraId="4E793EE6"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posiadać asystenta produktu opartego o AI, pozwalającego na przeszukiwanie dokumentacji technicznej. Powinna istnieć możliwość wyłączenia tej opcji.</w:t>
            </w:r>
          </w:p>
          <w:p w14:paraId="1C6EE3FC"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pozwalać na wydawanie komend głosowych asystentowi AI</w:t>
            </w:r>
          </w:p>
          <w:p w14:paraId="652CF9A2"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wykorzystywać mechanizmy śledzenia zmienionych plików przy zabezpieczaniu udziałów plikowych.</w:t>
            </w:r>
          </w:p>
          <w:p w14:paraId="0971B9CF"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oferować możliwość sterowania obciążeniem storage'u produkcyjnego tak aby nie przekraczane były skonfigurowane przez administratora backupu poziomy latencji. Funkcjonalność ta musi być dostępna conajmniej dla platformy VMware i Hyper-V</w:t>
            </w:r>
          </w:p>
          <w:p w14:paraId="6AF1FAA3"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posiadać wsparcie dla VMware vSAN potwierdzone odpowiednią certyfikacją VMware.</w:t>
            </w:r>
          </w:p>
          <w:p w14:paraId="60292125"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wspierać kopiowanie backupów oraz zasobów plikowych na taśmy (LTO oraz IBM 3592).</w:t>
            </w:r>
          </w:p>
          <w:p w14:paraId="24E971DE"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mieć możliwość tworzenia retencji GFS (Grandfather-Father-Son)</w:t>
            </w:r>
          </w:p>
          <w:p w14:paraId="2AC21AEE"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 xml:space="preserve">Oprogramowanie musi wspierać bezpośrednią integrację z urządzeniami deduplikacyjnymi. Minimalnie wsparcie wymagane dla Dell DataDomain, HPE StoreOnce, ExaGrid, Fujitsu CS800, Quantum DXi oraz Infinidat InfiniGuard. </w:t>
            </w:r>
          </w:p>
          <w:p w14:paraId="738FE8A9"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wspierać BlockClone API w przypadku użycia Windows Server 2016 - 2025 z systemem pliku ReFS jako repozytorium backupu. Podobna funkcjonalność musi być zapewniona dla repozytoriów opartych o linuxowy system plików XFS.</w:t>
            </w:r>
          </w:p>
          <w:p w14:paraId="72DD912E"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mieć możliwość replikacji asynchronicznej włączonych wirtualnych maszyn bezpośrednio z infrastruktury VMware vSphere pomiędzy hostami ESXi oraz pomiędzy hostami Hyper-V. Dodatkowo oprogramowanie musi mieć możliwość użycia plików kopii zapasowych jako źródła replikacji.</w:t>
            </w:r>
          </w:p>
          <w:p w14:paraId="3917803B"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umożliwiać przechowywanie punktów przywracania dla replik</w:t>
            </w:r>
          </w:p>
          <w:p w14:paraId="559F2E46"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umożliwiać wykorzystanie istniejących w infrastrukturze wirtualnych maszyn jako źródła do dalszej replikacji (replica seeding)</w:t>
            </w:r>
          </w:p>
          <w:p w14:paraId="56BF2146"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lastRenderedPageBreak/>
              <w:t>Oprogramowanie musi umożliwiać jednoczesne uruchomienie wielu maszyn wirtualnych bezpośrednio ze zdeduplikowanego i skompresowanego pliku backupu, z dowolnego punktu przywracania, bez potrzeby kopiowania jej na storage produkcyjny. Funkcjonalność musi być oferowana dla środowisk VMware oraz Hyper-V niezależnie od rodzaju storage’u użytego do przechowywania kopii zapasowych.</w:t>
            </w:r>
          </w:p>
          <w:p w14:paraId="7D6C5F34"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Dodatkowo dla środowiska vSphere, Hyper-V, Nutanix AHV i MS Azure powyższa funkcjonalność powinna umożliwiać uruchomianie backupu z innych platform (inne wirtualizatory, maszyny fizyczne oraz chmura publiczna)</w:t>
            </w:r>
          </w:p>
          <w:p w14:paraId="418D59DB"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pozwalać na migrację on-line tak uruchomionych maszyn na storage produkcyjny. Migracja powinna odbywać się mechanizmami wbudowanymi w platformę. Jeżeli licencja na hypervisor nie posiada takich funkcjonalności - oprogramowanie musi realizować taką migrację swoimi mechanizmami</w:t>
            </w:r>
          </w:p>
          <w:p w14:paraId="66BD0C16"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pozwalać na zaprezentowanie pojedynczego dysku bezpośrednio z kopii zapasowej do wybranej działającej maszyny, zarówno fizycznej jak i wirtualnej</w:t>
            </w:r>
          </w:p>
          <w:p w14:paraId="7D85868C"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pozwalać na uruchomienie zasobów plikowych SMB bezpośrednio ze skompresowanego i skompresowanego pliku backupu. Dodatkowo wspierana musi być migracja on-line tak uruchomionych zasobów na środowisko produkcyjne.</w:t>
            </w:r>
          </w:p>
          <w:p w14:paraId="0687B1E8"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umożliwiać pełne odtworzenie wirtualnej maszyny, plików konfiguracji i dysków</w:t>
            </w:r>
          </w:p>
          <w:p w14:paraId="1EC0CD4D"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umożliwiać pełne odtworzenie wirtualnej maszyny bezpośrednio do Microsoft Azure, Microsoft Azure Stack, Amazon EC2 oraz Google Cloud Platform.</w:t>
            </w:r>
          </w:p>
          <w:p w14:paraId="6590C967"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umożliwić odtworzenie plików/folderów lub ich uprawnień na maszynę operatora, lub na serwer produkcyjny bez potrzeby użycia agenta instalowanego wewnątrz wirtualnej maszyny. Funkcjonalność ta nie powinna być ograniczona wielkością i liczbą przywracanych plików</w:t>
            </w:r>
          </w:p>
          <w:p w14:paraId="7E8B6ABA"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mieć możliwość odtworzenia plików bezpośrednio do maszyny wirtualnej poprzez sieć, przy pomocy natywnego API dla platformy VMware i PowerShell Direct dla platformy Hyper-V.</w:t>
            </w:r>
          </w:p>
          <w:p w14:paraId="458A5A81"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wspierać odtwarzanie pojedynczych plików z systemów Windows, Linux, BSD, Solaris, Mac, Novell</w:t>
            </w:r>
          </w:p>
          <w:p w14:paraId="67BEE74B"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wspierać przywracanie plików z partycji Linux LVM</w:t>
            </w:r>
          </w:p>
          <w:p w14:paraId="21BC1FAF"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wspierać bezagentowy backup, spójny aplikacyjnie (tzw. Application Consistent) dla maszyn wirtualnych z platfrom vSphere, Hyper-V, Nutanix AHV, Proxmox.</w:t>
            </w:r>
          </w:p>
          <w:p w14:paraId="49184495"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umożliwiać szybkie granularne odtwarzanie obiektów aplikacji bez użycia jakiegokolwiek agenta zainstalowanego wewnątrz maszyny wirtualnej (Minimum dla Active Directory, MS Exchange, MS SQL, MS Sharepoint, Oracle i PostgreSQL).</w:t>
            </w:r>
          </w:p>
          <w:p w14:paraId="430BD0F6"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 xml:space="preserve">Oprogramowanie musi wspierać granularne odtwarzanie obiektów Active Directory takich jak konta komputerów, konta użytkowników, dowolnych atrybutów, rekordów </w:t>
            </w:r>
            <w:r w:rsidRPr="00FA147C">
              <w:rPr>
                <w:rFonts w:asciiTheme="minorHAnsi" w:eastAsia="Calibri" w:hAnsiTheme="minorHAnsi" w:cs="Arial"/>
                <w:sz w:val="20"/>
                <w:lang w:val="cs-CZ" w:eastAsia="pl-PL"/>
              </w:rPr>
              <w:lastRenderedPageBreak/>
              <w:t xml:space="preserve">DNS zintegrowanych z AD, Microsoft System Objects oraz pozwalać na odtworzenie haseł. </w:t>
            </w:r>
          </w:p>
          <w:p w14:paraId="375C3620"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pozwalać na backup i odtwarzanie usługi Entra ID. W szczególności użytkowników, grupy, role, jednostki administracyjne, entrprise applications, Conditional Access Policies, Intune Policies.  Jeżeli funkcjonalność ta wymaga dodatkowych licencji, nie są one przedmiotem niniejszego postępowania ale musi istnieć możliwość rozbudowy w przyszłości.</w:t>
            </w:r>
          </w:p>
          <w:p w14:paraId="67952B69"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wspierać granularne odtwarzanie Microsoft Exchange (dowolny obiekt w tym obiekty w folderze "Permanently Deleted Objects"). Odtwarzanie musi być możliwe bezpośrednio do środowiska produkcyjnego.</w:t>
            </w:r>
          </w:p>
          <w:p w14:paraId="60AF476A"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wspierać granularne odtwarzanie Microsoft SQL. Odtwarzanie musi być możliwe bezpośrednio do środowiska produkcyjnego dla odzysku point-in-time, całych baz lub pojedynczych tabeli, widoków oraz procedur.</w:t>
            </w:r>
          </w:p>
          <w:p w14:paraId="3F539968"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wspierać granularne odtwarzanie Microsoft Sharepoint. Odtwarzanie musi być możliwe bezpośrednio do środowiska produkcyjnego dla odzysku całych witryn, bibliotek oraz pojedynczych dokumentów wraz z historią ich wersji.</w:t>
            </w:r>
          </w:p>
          <w:p w14:paraId="0530F3D7"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wspierać granularne odtwarzanie baz danych Oracle z opcją odtwarzanie point-in-time wraz z włączonym Oracle DataGuard. Funkcjonalność ta musi być dostępna dla baz uruchomionych w środowiskach Windows oraz Linux.</w:t>
            </w:r>
          </w:p>
          <w:p w14:paraId="42073667"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wspierać granularne odtwarzanie baz danych PostgreSQL z opcją odtwarzanie point-in-time. Funkcjonalność ta musi być dostępna dla baz uruchomionych w środowiskach Linux.</w:t>
            </w:r>
          </w:p>
          <w:p w14:paraId="29BEE935"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wspierać także specyficzne metody odtwarzania w tym "reverse CBT" oraz odtwarzanie z wykorzystaniem sieci SAN</w:t>
            </w:r>
          </w:p>
          <w:p w14:paraId="1C055D4A"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dawać możliwość stworzenia laboratorium (izolowane środowisko) dla vSphere i Hyper-V używając wirtualnych maszyn uruchamianych bezpośrednio z plików backupu. Powyższa funkcjonalność powinna umożliwiać uruchomianie backupu z innych platform (inne wirtualizatory, maszyny fizyczne oraz chmura publiczna)</w:t>
            </w:r>
          </w:p>
          <w:p w14:paraId="14D89ADB"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Dla VMware’a oprogramowanie musi pozwalać na uruchomienie takiego środowiska dla replik maszyn wirtualnych</w:t>
            </w:r>
          </w:p>
          <w:p w14:paraId="54B97529"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umożliwiać weryfikację odtwarzalności wielu wirtualnych maszyn jednocześnie z dowolnego backupu według własnego harmonogramu w izolowanym środowisku. Testy powinny uwzględniać możliwość uruchomienia dowolnego skryptu testującego również aplikację uruchomioną na wirtualnej maszynie. Testy muszą być przeprowadzone bez interakcji z administratorem</w:t>
            </w:r>
          </w:p>
          <w:p w14:paraId="69D0892C"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t>Oprogramowanie musi umożliwiać integrację z oprogramowaniem antywirusowym w celu wykonania skanu zawartości pliku backupowego przed odtworzeniem jakichkolwiek danych. Integracja musi być zapewniona minimalnie dla Windows Defender, Symantec Protection Engine oraz ESET NOD32.</w:t>
            </w:r>
          </w:p>
          <w:p w14:paraId="002B50AE" w14:textId="77777777" w:rsidR="0087110A" w:rsidRPr="00FA147C" w:rsidRDefault="0087110A" w:rsidP="00FB75D0">
            <w:pPr>
              <w:rPr>
                <w:rFonts w:asciiTheme="minorHAnsi" w:eastAsia="Calibri" w:hAnsiTheme="minorHAnsi" w:cs="Arial"/>
                <w:sz w:val="20"/>
                <w:lang w:val="cs-CZ" w:eastAsia="pl-PL"/>
              </w:rPr>
            </w:pPr>
            <w:r w:rsidRPr="00FA147C">
              <w:rPr>
                <w:rFonts w:asciiTheme="minorHAnsi" w:eastAsia="Calibri" w:hAnsiTheme="minorHAnsi" w:cs="Arial"/>
                <w:sz w:val="20"/>
                <w:lang w:val="cs-CZ" w:eastAsia="pl-PL"/>
              </w:rPr>
              <w:lastRenderedPageBreak/>
              <w:t>Oprogramowanie musi umożliwiać dwuetapowe, automatyczne, odtwarzanie maszyn wirtualnych z możliwością wstrzyknięcia dowolnego skryptu przed odtworzeniem danych do środowiska produkcyjnego.</w:t>
            </w:r>
          </w:p>
          <w:p w14:paraId="18C2C1B6" w14:textId="77777777" w:rsidR="0087110A" w:rsidRPr="00FA147C" w:rsidRDefault="0087110A" w:rsidP="00FB75D0">
            <w:pPr>
              <w:widowControl w:val="0"/>
              <w:autoSpaceDE w:val="0"/>
              <w:autoSpaceDN w:val="0"/>
              <w:spacing w:after="0" w:line="360" w:lineRule="auto"/>
              <w:ind w:right="20"/>
              <w:contextualSpacing w:val="0"/>
              <w:rPr>
                <w:rFonts w:asciiTheme="minorHAnsi" w:eastAsia="Calibri" w:hAnsiTheme="minorHAnsi" w:cs="Arial"/>
                <w:sz w:val="20"/>
                <w:lang w:val="cs-CZ" w:eastAsia="pl-PL"/>
              </w:rPr>
            </w:pPr>
          </w:p>
        </w:tc>
      </w:tr>
    </w:tbl>
    <w:p w14:paraId="27079B5A" w14:textId="77777777" w:rsidR="0087110A" w:rsidRPr="00FA147C" w:rsidRDefault="0087110A" w:rsidP="0087110A">
      <w:pPr>
        <w:rPr>
          <w:rFonts w:asciiTheme="minorHAnsi" w:hAnsiTheme="minorHAnsi" w:cs="Arial"/>
          <w:b/>
          <w:sz w:val="20"/>
        </w:rPr>
      </w:pPr>
    </w:p>
    <w:p w14:paraId="2011D87F" w14:textId="1218F3DD" w:rsidR="00FA147C" w:rsidRPr="00FA147C" w:rsidRDefault="00FA147C" w:rsidP="00216546">
      <w:pPr>
        <w:pStyle w:val="Nagwek1"/>
        <w:rPr>
          <w:rFonts w:asciiTheme="minorHAnsi" w:hAnsiTheme="minorHAnsi"/>
          <w:b/>
          <w:bCs/>
          <w:sz w:val="26"/>
          <w:szCs w:val="26"/>
        </w:rPr>
      </w:pPr>
      <w:bookmarkStart w:id="5" w:name="OLE_LINK3"/>
      <w:r w:rsidRPr="00FA147C">
        <w:rPr>
          <w:rFonts w:asciiTheme="minorHAnsi" w:hAnsiTheme="minorHAnsi"/>
          <w:b/>
          <w:bCs/>
          <w:sz w:val="26"/>
          <w:szCs w:val="26"/>
        </w:rPr>
        <w:t>Termin realizacji</w:t>
      </w:r>
    </w:p>
    <w:bookmarkEnd w:id="5"/>
    <w:p w14:paraId="362C3858" w14:textId="23A8057A" w:rsidR="000A4C4F" w:rsidRDefault="00FA147C" w:rsidP="006C05C1">
      <w:pPr>
        <w:pStyle w:val="Akapitzlist"/>
        <w:numPr>
          <w:ilvl w:val="0"/>
          <w:numId w:val="8"/>
        </w:numPr>
        <w:rPr>
          <w:color w:val="000000"/>
          <w:sz w:val="20"/>
        </w:rPr>
      </w:pPr>
      <w:r w:rsidRPr="002A0C6E">
        <w:rPr>
          <w:color w:val="000000"/>
          <w:sz w:val="20"/>
        </w:rPr>
        <w:t xml:space="preserve">Wykonawca zobowiązany jest dostarczyć przedmiot zamówienia w terminie </w:t>
      </w:r>
      <w:r w:rsidR="00880755">
        <w:rPr>
          <w:color w:val="000000"/>
          <w:sz w:val="20"/>
        </w:rPr>
        <w:t xml:space="preserve">maksymalnie </w:t>
      </w:r>
      <w:r w:rsidRPr="002A0C6E">
        <w:rPr>
          <w:color w:val="000000"/>
          <w:sz w:val="20"/>
        </w:rPr>
        <w:t xml:space="preserve">14 dni od dnia podpisania Umowy. </w:t>
      </w:r>
    </w:p>
    <w:p w14:paraId="1B0352D6" w14:textId="6E4D4036" w:rsidR="006C05C1" w:rsidRPr="002A0C6E" w:rsidRDefault="006C05C1" w:rsidP="002A0C6E">
      <w:pPr>
        <w:pStyle w:val="Akapitzlist"/>
        <w:numPr>
          <w:ilvl w:val="0"/>
          <w:numId w:val="8"/>
        </w:numPr>
        <w:rPr>
          <w:color w:val="000000"/>
          <w:sz w:val="20"/>
        </w:rPr>
      </w:pPr>
      <w:r>
        <w:rPr>
          <w:color w:val="000000"/>
          <w:sz w:val="20"/>
        </w:rPr>
        <w:t xml:space="preserve">Wykonawca zobowiązany jest wykonać integrację systemu kopii zapasowych ze środowiskiem Zamawiającego w terminie </w:t>
      </w:r>
      <w:r w:rsidR="002A0C6E">
        <w:rPr>
          <w:color w:val="000000"/>
          <w:sz w:val="20"/>
        </w:rPr>
        <w:t xml:space="preserve"> do 14 </w:t>
      </w:r>
      <w:r>
        <w:rPr>
          <w:color w:val="000000"/>
          <w:sz w:val="20"/>
        </w:rPr>
        <w:t>dni od dnia dostawy przedmiotu zamówienia.</w:t>
      </w:r>
    </w:p>
    <w:p w14:paraId="481DE754" w14:textId="77777777" w:rsidR="000A4C4F" w:rsidRDefault="000A4C4F" w:rsidP="00FA147C">
      <w:pPr>
        <w:rPr>
          <w:rFonts w:asciiTheme="minorHAnsi" w:hAnsiTheme="minorHAnsi"/>
          <w:color w:val="000000"/>
          <w:sz w:val="20"/>
        </w:rPr>
      </w:pPr>
    </w:p>
    <w:p w14:paraId="30A0DD50" w14:textId="72D7794F" w:rsidR="00FA147C" w:rsidRPr="00FA147C" w:rsidRDefault="00FA147C" w:rsidP="00FA147C">
      <w:pPr>
        <w:pStyle w:val="Nagwek1"/>
        <w:rPr>
          <w:rFonts w:asciiTheme="minorHAnsi" w:hAnsiTheme="minorHAnsi"/>
          <w:b/>
          <w:bCs/>
          <w:sz w:val="26"/>
          <w:szCs w:val="26"/>
        </w:rPr>
      </w:pPr>
      <w:r w:rsidRPr="00FA147C">
        <w:rPr>
          <w:rFonts w:asciiTheme="minorHAnsi" w:hAnsiTheme="minorHAnsi"/>
          <w:b/>
          <w:bCs/>
          <w:sz w:val="26"/>
          <w:szCs w:val="26"/>
        </w:rPr>
        <w:t>Serwis i gwarancja</w:t>
      </w:r>
    </w:p>
    <w:p w14:paraId="26B90E7B" w14:textId="77777777" w:rsidR="00FA147C" w:rsidRDefault="00FA147C" w:rsidP="00FA147C">
      <w:pPr>
        <w:autoSpaceDE w:val="0"/>
        <w:autoSpaceDN w:val="0"/>
        <w:spacing w:after="0" w:line="360" w:lineRule="auto"/>
        <w:contextualSpacing w:val="0"/>
        <w:rPr>
          <w:rFonts w:asciiTheme="minorHAnsi" w:hAnsiTheme="minorHAnsi"/>
          <w:color w:val="000000" w:themeColor="text1"/>
          <w:sz w:val="20"/>
        </w:rPr>
      </w:pPr>
      <w:r w:rsidRPr="00FA147C">
        <w:rPr>
          <w:rFonts w:asciiTheme="minorHAnsi" w:hAnsiTheme="minorHAnsi"/>
          <w:color w:val="000000" w:themeColor="text1"/>
          <w:sz w:val="20"/>
        </w:rPr>
        <w:t>Wykonawca udzieli Zamawiającemu gwarancji na urządzenia, na okres 36 miesięcy w trybie 9x5 NBD onsite z gwarantowanym czasem reakcji najpóźniej w następnym dniu roboczym od momentu zgłoszenia usterki.</w:t>
      </w:r>
    </w:p>
    <w:p w14:paraId="6080DD90" w14:textId="77777777" w:rsidR="00410D9A" w:rsidRPr="00FA147C" w:rsidRDefault="00410D9A" w:rsidP="00410D9A">
      <w:pPr>
        <w:rPr>
          <w:rFonts w:asciiTheme="minorHAnsi" w:hAnsiTheme="minorHAnsi" w:cs="Arial"/>
          <w:sz w:val="20"/>
        </w:rPr>
      </w:pPr>
      <w:r w:rsidRPr="00FA147C">
        <w:rPr>
          <w:rFonts w:asciiTheme="minorHAnsi" w:hAnsiTheme="minorHAnsi" w:cs="Arial"/>
          <w:sz w:val="20"/>
        </w:rPr>
        <w:t>Deduplikator musi posiadać możliwość upgradeu firmware-u kontrolerów bez przerywania dostępu do danych.</w:t>
      </w:r>
    </w:p>
    <w:p w14:paraId="4AC0BFFE" w14:textId="255B758F" w:rsidR="00410D9A" w:rsidRPr="00FA147C" w:rsidRDefault="00410D9A" w:rsidP="00410D9A">
      <w:pPr>
        <w:rPr>
          <w:rFonts w:asciiTheme="minorHAnsi" w:hAnsiTheme="minorHAnsi" w:cs="Arial"/>
          <w:sz w:val="20"/>
        </w:rPr>
      </w:pPr>
      <w:r w:rsidRPr="00FA147C">
        <w:rPr>
          <w:rFonts w:asciiTheme="minorHAnsi" w:hAnsiTheme="minorHAnsi" w:cs="Arial"/>
          <w:sz w:val="20"/>
        </w:rPr>
        <w:t>Urządzenie</w:t>
      </w:r>
      <w:r>
        <w:rPr>
          <w:rFonts w:asciiTheme="minorHAnsi" w:hAnsiTheme="minorHAnsi" w:cs="Arial"/>
          <w:sz w:val="20"/>
        </w:rPr>
        <w:t xml:space="preserve"> musi być</w:t>
      </w:r>
      <w:r w:rsidRPr="00FA147C">
        <w:rPr>
          <w:rFonts w:asciiTheme="minorHAnsi" w:hAnsiTheme="minorHAnsi" w:cs="Arial"/>
          <w:sz w:val="20"/>
        </w:rPr>
        <w:t xml:space="preserve"> przystosowane do napraw w miejscu instalacji oraz wymiany elementów bez konieczności jego wyłączania.</w:t>
      </w:r>
    </w:p>
    <w:p w14:paraId="5F925594" w14:textId="77777777" w:rsidR="00410D9A" w:rsidRPr="00FA147C" w:rsidRDefault="00410D9A" w:rsidP="00410D9A">
      <w:pPr>
        <w:rPr>
          <w:rFonts w:asciiTheme="minorHAnsi" w:hAnsiTheme="minorHAnsi" w:cs="Arial"/>
          <w:sz w:val="20"/>
        </w:rPr>
      </w:pPr>
      <w:r w:rsidRPr="00FA147C">
        <w:rPr>
          <w:rFonts w:asciiTheme="minorHAnsi" w:hAnsiTheme="minorHAnsi" w:cs="Arial"/>
          <w:sz w:val="20"/>
        </w:rPr>
        <w:t xml:space="preserve">Urządzenie musi umożliwiać zdalne zarządzanie. </w:t>
      </w:r>
    </w:p>
    <w:p w14:paraId="6ADDF806" w14:textId="77777777" w:rsidR="00410D9A" w:rsidRPr="00FA147C" w:rsidRDefault="00410D9A" w:rsidP="00FA147C">
      <w:pPr>
        <w:autoSpaceDE w:val="0"/>
        <w:autoSpaceDN w:val="0"/>
        <w:spacing w:after="0" w:line="360" w:lineRule="auto"/>
        <w:contextualSpacing w:val="0"/>
        <w:rPr>
          <w:rFonts w:asciiTheme="minorHAnsi" w:hAnsiTheme="minorHAnsi"/>
          <w:color w:val="000000" w:themeColor="text1"/>
          <w:sz w:val="20"/>
        </w:rPr>
      </w:pPr>
    </w:p>
    <w:p w14:paraId="4A3DBF5E" w14:textId="77777777" w:rsidR="00FA147C" w:rsidRPr="00FA147C" w:rsidRDefault="00FA147C" w:rsidP="00FA147C">
      <w:pPr>
        <w:autoSpaceDE w:val="0"/>
        <w:autoSpaceDN w:val="0"/>
        <w:spacing w:after="0" w:line="360" w:lineRule="auto"/>
        <w:contextualSpacing w:val="0"/>
        <w:rPr>
          <w:rFonts w:asciiTheme="minorHAnsi" w:hAnsiTheme="minorHAnsi"/>
          <w:color w:val="000000" w:themeColor="text1"/>
          <w:sz w:val="20"/>
        </w:rPr>
      </w:pPr>
      <w:r w:rsidRPr="00FA147C">
        <w:rPr>
          <w:rFonts w:asciiTheme="minorHAnsi" w:hAnsiTheme="minorHAnsi"/>
          <w:color w:val="000000" w:themeColor="text1"/>
          <w:sz w:val="20"/>
        </w:rPr>
        <w:t>Zakres usług wsparcia technicznego obejmuje w szczególności:</w:t>
      </w:r>
    </w:p>
    <w:p w14:paraId="3DE34C9E" w14:textId="00563E7E"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naprawy, w tym usuwanie usterek, wymiany gwarancyjne uszkodzonych elementów lub deduplikator</w:t>
      </w:r>
      <w:r w:rsidR="006C05C1">
        <w:rPr>
          <w:color w:val="000000" w:themeColor="text1"/>
          <w:sz w:val="20"/>
          <w:szCs w:val="20"/>
        </w:rPr>
        <w:t>a</w:t>
      </w:r>
      <w:r w:rsidRPr="00FA147C">
        <w:rPr>
          <w:color w:val="000000" w:themeColor="text1"/>
          <w:sz w:val="20"/>
          <w:szCs w:val="20"/>
        </w:rPr>
        <w:t>, w miejscu dostawy urządzeń lub poza tym miejscem w przypadku, gdy Zamawiający wyrazi na to zgodę,</w:t>
      </w:r>
    </w:p>
    <w:p w14:paraId="53FF3093" w14:textId="5C29FFF7"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konsultacje i pomoc techniczną w zakresie funkcjonowania dostarczonych urządzeń przez inżyniera z certyfikatem eksperckim oferowanego rozwiązania deduplikator</w:t>
      </w:r>
      <w:r w:rsidR="006C05C1">
        <w:rPr>
          <w:color w:val="000000" w:themeColor="text1"/>
          <w:sz w:val="20"/>
          <w:szCs w:val="20"/>
        </w:rPr>
        <w:t>a</w:t>
      </w:r>
      <w:r w:rsidRPr="00FA147C">
        <w:rPr>
          <w:color w:val="000000" w:themeColor="text1"/>
          <w:sz w:val="20"/>
          <w:szCs w:val="20"/>
        </w:rPr>
        <w:t xml:space="preserve"> (np. HCIE),</w:t>
      </w:r>
    </w:p>
    <w:p w14:paraId="7FF755CF" w14:textId="1594494F"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konsultacje i pomoc techniczną w zakresie funkcjonowania dostarczonego oprogramowania do kopii zapasowych,</w:t>
      </w:r>
    </w:p>
    <w:p w14:paraId="4EA3E14E" w14:textId="7BD72B7B"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 xml:space="preserve">możliwość pobierania najnowszego firmware dla urządzeń oraz najnowszej wersji oprogramowania kopii zapasowych, </w:t>
      </w:r>
    </w:p>
    <w:p w14:paraId="000757F7" w14:textId="4861B475"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dostęp do bazy wiedzy producenta w zakresie dostarczanych urządzeń i oprogramowania,</w:t>
      </w:r>
    </w:p>
    <w:p w14:paraId="34C63E0D" w14:textId="3AE80887"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dostęp do centrum pomocy technicznej producenta,</w:t>
      </w:r>
    </w:p>
    <w:p w14:paraId="34474FB8" w14:textId="65B71678"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lastRenderedPageBreak/>
        <w:t>bezpłatne zdalne podniesienie wersji firmware macierzy przez serwis na żądanie Zamawiającego min. 2 razy w roku,</w:t>
      </w:r>
    </w:p>
    <w:p w14:paraId="2ECA0289" w14:textId="7E4B7432"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otwieranie zgłoszeń serwisowych w przypadku podejrzenia możliwości błędu w oprogramowaniu/hardware,</w:t>
      </w:r>
    </w:p>
    <w:p w14:paraId="16D0208F" w14:textId="64C411AC"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otrzymywanie poprawek oraz aktualizacji wersji oprogramowania dostarczonego wraz z macierzą oraz oprogramowania wewnętrznego macierzy,</w:t>
      </w:r>
    </w:p>
    <w:p w14:paraId="497DB8CF" w14:textId="54409EA2"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otrzymywanie poprawek do oprogramowania kopii zap</w:t>
      </w:r>
      <w:r w:rsidR="006C05C1">
        <w:rPr>
          <w:color w:val="000000" w:themeColor="text1"/>
          <w:sz w:val="20"/>
          <w:szCs w:val="20"/>
        </w:rPr>
        <w:t>a</w:t>
      </w:r>
      <w:r w:rsidRPr="00FA147C">
        <w:rPr>
          <w:color w:val="000000" w:themeColor="text1"/>
          <w:sz w:val="20"/>
          <w:szCs w:val="20"/>
        </w:rPr>
        <w:t>sowych,</w:t>
      </w:r>
    </w:p>
    <w:p w14:paraId="7727B324" w14:textId="2B8942D0"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przyjmowanie zgłoszeń wadliwego działania urządzeń lub oprogramowania,</w:t>
      </w:r>
    </w:p>
    <w:p w14:paraId="49105308" w14:textId="438DD8A7"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diagnozę urządzeń lub problemów z oprogramowaniem,</w:t>
      </w:r>
    </w:p>
    <w:p w14:paraId="124E2390" w14:textId="025DE060"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dojazdy i transport niezbędny do wykonania czynności serwisowych,</w:t>
      </w:r>
    </w:p>
    <w:p w14:paraId="5AB713FE" w14:textId="449A7D3D" w:rsidR="00FA147C" w:rsidRP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Wsparcie w razie problemów z dostępem do konsoli zarządzania z poziomu SSH/GUI</w:t>
      </w:r>
    </w:p>
    <w:p w14:paraId="25E21736" w14:textId="6EDD4954" w:rsidR="00FA147C" w:rsidRDefault="00FA147C" w:rsidP="00FA147C">
      <w:pPr>
        <w:pStyle w:val="Akapitzlist"/>
        <w:numPr>
          <w:ilvl w:val="0"/>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Konsultacja z inżynierem w zakresie zagadnień:</w:t>
      </w:r>
    </w:p>
    <w:p w14:paraId="644DAFE2" w14:textId="77777777" w:rsidR="00FA147C" w:rsidRPr="00FA147C" w:rsidRDefault="00FA147C" w:rsidP="00FA147C">
      <w:pPr>
        <w:pStyle w:val="Akapitzlist"/>
        <w:numPr>
          <w:ilvl w:val="1"/>
          <w:numId w:val="5"/>
        </w:numPr>
        <w:autoSpaceDE w:val="0"/>
        <w:autoSpaceDN w:val="0"/>
        <w:spacing w:after="0" w:line="360" w:lineRule="auto"/>
        <w:contextualSpacing w:val="0"/>
        <w:rPr>
          <w:color w:val="000000" w:themeColor="text1"/>
          <w:sz w:val="20"/>
          <w:szCs w:val="20"/>
        </w:rPr>
      </w:pPr>
      <w:r w:rsidRPr="00FA147C">
        <w:rPr>
          <w:color w:val="000000" w:themeColor="text1"/>
          <w:sz w:val="20"/>
        </w:rPr>
        <w:t>Urządzenie musi wspierać co najmniej następujące aplikacje do backupu: Commvault, Veritas NetBackup, Veeam Backup&amp;Replication - przy rozwiązywaniu problemów we współpracy z wymienionym oprogramowaniem.</w:t>
      </w:r>
    </w:p>
    <w:p w14:paraId="30A8AEEE" w14:textId="2508F938" w:rsidR="00FA147C" w:rsidRPr="00FA147C" w:rsidRDefault="00FA147C" w:rsidP="00FA147C">
      <w:pPr>
        <w:pStyle w:val="Akapitzlist"/>
        <w:numPr>
          <w:ilvl w:val="1"/>
          <w:numId w:val="5"/>
        </w:numPr>
        <w:autoSpaceDE w:val="0"/>
        <w:autoSpaceDN w:val="0"/>
        <w:spacing w:after="0" w:line="360" w:lineRule="auto"/>
        <w:contextualSpacing w:val="0"/>
        <w:rPr>
          <w:color w:val="000000" w:themeColor="text1"/>
          <w:sz w:val="20"/>
          <w:szCs w:val="20"/>
        </w:rPr>
      </w:pPr>
      <w:r w:rsidRPr="00FA147C">
        <w:rPr>
          <w:color w:val="000000" w:themeColor="text1"/>
          <w:sz w:val="20"/>
          <w:szCs w:val="20"/>
        </w:rPr>
        <w:t>Współpracy z przełącznikami sieciowymi oraz przełącznikami FC w tym obsługiwane protokoły FC, iSCSI, NFS, CIFS, oraz obsługa migracji danych do repozytorium protokołem S3. - w razie wystąpienia problemów z komunikacją z wykorzystaniem podanych protokołów.</w:t>
      </w:r>
    </w:p>
    <w:p w14:paraId="524BAD09" w14:textId="08967CD6" w:rsidR="00FA147C" w:rsidRPr="00FA147C" w:rsidRDefault="00FA147C" w:rsidP="00FA147C">
      <w:pPr>
        <w:autoSpaceDE w:val="0"/>
        <w:autoSpaceDN w:val="0"/>
        <w:spacing w:after="0" w:line="360" w:lineRule="auto"/>
        <w:contextualSpacing w:val="0"/>
        <w:rPr>
          <w:rFonts w:asciiTheme="minorHAnsi" w:hAnsiTheme="minorHAnsi"/>
          <w:color w:val="000000" w:themeColor="text1"/>
          <w:sz w:val="20"/>
        </w:rPr>
      </w:pPr>
      <w:r w:rsidRPr="00FA147C">
        <w:rPr>
          <w:rFonts w:asciiTheme="minorHAnsi" w:hAnsiTheme="minorHAnsi"/>
          <w:color w:val="000000" w:themeColor="text1"/>
          <w:sz w:val="20"/>
        </w:rPr>
        <w:t xml:space="preserve">Urządzenie musi umożliwiać replikację danych do drugiego urządzenia w ramach tej samej rodziny oferowanego deduplikatora. </w:t>
      </w:r>
      <w:r>
        <w:rPr>
          <w:rFonts w:asciiTheme="minorHAnsi" w:hAnsiTheme="minorHAnsi"/>
          <w:color w:val="000000" w:themeColor="text1"/>
          <w:sz w:val="20"/>
        </w:rPr>
        <w:t>–</w:t>
      </w:r>
      <w:r w:rsidRPr="00FA147C">
        <w:rPr>
          <w:rFonts w:asciiTheme="minorHAnsi" w:hAnsiTheme="minorHAnsi"/>
          <w:color w:val="000000" w:themeColor="text1"/>
          <w:sz w:val="20"/>
        </w:rPr>
        <w:t xml:space="preserve"> w razie problemów z zestawieniem replikacji danych między urządzeniami. − inne czynności niezbędne do realizacji uprawnień wynikających z gwarancji.</w:t>
      </w:r>
    </w:p>
    <w:p w14:paraId="3C3A2489" w14:textId="77777777" w:rsidR="00FA147C" w:rsidRPr="00FA147C" w:rsidRDefault="00FA147C" w:rsidP="00FA147C">
      <w:pPr>
        <w:autoSpaceDE w:val="0"/>
        <w:autoSpaceDN w:val="0"/>
        <w:spacing w:after="0" w:line="360" w:lineRule="auto"/>
        <w:contextualSpacing w:val="0"/>
        <w:rPr>
          <w:rFonts w:asciiTheme="minorHAnsi" w:hAnsiTheme="minorHAnsi"/>
          <w:color w:val="000000" w:themeColor="text1"/>
          <w:sz w:val="20"/>
        </w:rPr>
      </w:pPr>
    </w:p>
    <w:p w14:paraId="1D9875B0" w14:textId="77777777" w:rsidR="00FA147C" w:rsidRPr="00FA147C" w:rsidRDefault="00FA147C" w:rsidP="00FA147C">
      <w:pPr>
        <w:autoSpaceDE w:val="0"/>
        <w:autoSpaceDN w:val="0"/>
        <w:spacing w:after="0" w:line="360" w:lineRule="auto"/>
        <w:contextualSpacing w:val="0"/>
        <w:rPr>
          <w:rFonts w:asciiTheme="minorHAnsi" w:hAnsiTheme="minorHAnsi"/>
          <w:color w:val="000000" w:themeColor="text1"/>
          <w:sz w:val="20"/>
        </w:rPr>
      </w:pPr>
      <w:r w:rsidRPr="00FA147C">
        <w:rPr>
          <w:rFonts w:asciiTheme="minorHAnsi" w:hAnsiTheme="minorHAnsi"/>
          <w:color w:val="000000" w:themeColor="text1"/>
          <w:sz w:val="20"/>
        </w:rPr>
        <w:t>W okresie obowiązywania gwarancji Wykonawca zapewni bezpłatny (wyłączając uszkodzenia powstałe z winy Zamawiającego) serwis gwarancyjny. Serwis gwarancyjny świadczony będzie w siedzibie Zamawiającego lub w szczególnych sytuacjach w przypadku, gdy Zamawiający wyrazi na to zgodę – poza siedzibą. Usługi gwarancyjne muszą być świadczone przez organizację serwisową producenta sprzętu posiadającą certyfikat ISO co najmniej 9001:2015.</w:t>
      </w:r>
    </w:p>
    <w:p w14:paraId="7CE79336" w14:textId="77777777" w:rsidR="00FA147C" w:rsidRPr="00FA147C" w:rsidRDefault="00FA147C" w:rsidP="00FA147C">
      <w:pPr>
        <w:autoSpaceDE w:val="0"/>
        <w:autoSpaceDN w:val="0"/>
        <w:spacing w:after="0" w:line="360" w:lineRule="auto"/>
        <w:contextualSpacing w:val="0"/>
        <w:rPr>
          <w:rFonts w:asciiTheme="minorHAnsi" w:hAnsiTheme="minorHAnsi"/>
          <w:color w:val="000000" w:themeColor="text1"/>
          <w:sz w:val="20"/>
        </w:rPr>
      </w:pPr>
    </w:p>
    <w:p w14:paraId="5B077A3F" w14:textId="77777777" w:rsidR="00FA147C" w:rsidRPr="00FA147C" w:rsidRDefault="00FA147C" w:rsidP="00FA147C">
      <w:pPr>
        <w:autoSpaceDE w:val="0"/>
        <w:autoSpaceDN w:val="0"/>
        <w:spacing w:after="0" w:line="360" w:lineRule="auto"/>
        <w:contextualSpacing w:val="0"/>
        <w:rPr>
          <w:rFonts w:asciiTheme="minorHAnsi" w:hAnsiTheme="minorHAnsi"/>
          <w:b/>
          <w:bCs/>
          <w:color w:val="000000" w:themeColor="text1"/>
          <w:sz w:val="20"/>
        </w:rPr>
      </w:pPr>
      <w:r w:rsidRPr="00FA147C">
        <w:rPr>
          <w:rFonts w:asciiTheme="minorHAnsi" w:hAnsiTheme="minorHAnsi"/>
          <w:b/>
          <w:bCs/>
          <w:color w:val="000000" w:themeColor="text1"/>
          <w:sz w:val="20"/>
        </w:rPr>
        <w:t>Warunki serwisu gwarancyjnego:</w:t>
      </w:r>
    </w:p>
    <w:p w14:paraId="48E9B800" w14:textId="3BDB9E60"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 xml:space="preserve"> gotowość serwisu (przyjmowanie zgłoszeń) bez ograniczenia czasowego (24 h na dobę, 7 dni w tygodniu),</w:t>
      </w:r>
    </w:p>
    <w:p w14:paraId="4944AE2B" w14:textId="03B6BBE8"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 xml:space="preserve"> serwis będzie świadczony na oryginalnych częściach,</w:t>
      </w:r>
    </w:p>
    <w:p w14:paraId="6ADA7D1D" w14:textId="5F352B2A"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lastRenderedPageBreak/>
        <w:t xml:space="preserve"> upoważnieni pracownicy Zamawiającego mogą dokonywać zgłoszeń gwarancyjnych bez ograniczeń czasowych (24 h na dobę, 7 dni w tygodniu), telefonicznie lub drogą elektroniczną lub poprzez interfejs www. W przypadku zgłoszenia telefonicznego Wykonawca zobowiązany jest niezwłocznie potwierdzić jego przyjęcie na adres e-mail Zamawiającego.</w:t>
      </w:r>
    </w:p>
    <w:p w14:paraId="5AFEA50A" w14:textId="18D4F46D"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Wykonawca jest zobowiązany stawić się w siedzibie Zamawiającego i przystąpić do naprawy nie później niż w kolejnym dniu roboczym po zgłoszeniu (w godzinach pracy Zamawiającego),</w:t>
      </w:r>
    </w:p>
    <w:p w14:paraId="760E52DC" w14:textId="0CC931FB"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standardowy czas naprawy wynosi 1 dzień roboczy od dnia przystąpienia do naprawy,</w:t>
      </w:r>
    </w:p>
    <w:p w14:paraId="1E8DC726" w14:textId="56DFE977"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w przypadku konieczności wymiany podzespołów trudno dostępnych, po poinformowaniu Zamawiającego, naprawa może trwać do 7 dni roboczych (licząc od dnia zgłoszenia),</w:t>
      </w:r>
    </w:p>
    <w:p w14:paraId="401DAEC8" w14:textId="1529B16B"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Wykonawca zobowiązany jest do wymiany urządzenia na nowy w terminie do 10 dni roboczych od dnia zgłoszenia przez Zamawiającego takiego żądania w formie pisemnej w przypadku wystąpienia kolejnej wady, awarii lub usterki urządzenia po wcześniejszych co najmniej 5 jego naprawach,</w:t>
      </w:r>
    </w:p>
    <w:p w14:paraId="4DC70E6A" w14:textId="0216B5D5"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w przypadku wymiany urządzenia na nowy, Zamawiający wymaga, aby nowe urządzenie posiadało co najmniej takie same parametry i funkcjonalności, jak urządzenie zaoferowane w ofercie Wykonawcy,</w:t>
      </w:r>
    </w:p>
    <w:p w14:paraId="6880D797" w14:textId="25C06186"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Wykonawca gwarantuje, że usługi gwarancyjne objęte Umową będą świadczone przez producenta przedmiotu umowy lub przez jego autoryzowanego partnera serwisowego, w sposób profesjonalny, zgodnie ze standardami obowiązującymi w branży informatycznej, z zachowaniem należytej staranności,</w:t>
      </w:r>
    </w:p>
    <w:p w14:paraId="31DBA8F4" w14:textId="4495369E"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Wykonawca ponosi wszelkie koszty i ryzyko związane z realizacją uprawnień gwarancyjnych przez Zamawiającego w okresie gwarancji,</w:t>
      </w:r>
    </w:p>
    <w:p w14:paraId="52ED5E19" w14:textId="626E5C26"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w razie nieuwzględnienia przez Wykonawcę reklamacji z tytułu gwarancji, Zamawiający może wystąpić do podmiotu trzeciego z wnioskiem o przeprowadzenie niezależnej ekspertyzy; jeżeli reklamacja Zamawiającego okaże się uzasadniona, koszty związane z przeprowadzeniem ekspertyzy ponosi Wykonawca. Zwrot kosztów ekspertyzy nastąpi w terminie 14 dni kalendarzowych, od dnia otrzymania przez Wykonawcę wezwania do zapłaty,</w:t>
      </w:r>
    </w:p>
    <w:p w14:paraId="773FCD87" w14:textId="083E4A1A"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uprawnienia wynikające z udzielonej gwarancji nie wyłączają możliwości dochodzenia przez Zamawiającego uprawnień z rękojmi za wady,</w:t>
      </w:r>
    </w:p>
    <w:p w14:paraId="65BCBC30" w14:textId="7E7E8990"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świadczenie na rzecz Zamawiającego usług gwarancyjnych i serwisowych oraz korzystanie z uprawnień wynikających z gwarancji zawarte jest w wynagrodzeniu Wykonawcy.</w:t>
      </w:r>
    </w:p>
    <w:p w14:paraId="4CA5D85E" w14:textId="686438DD" w:rsidR="00FA147C" w:rsidRPr="00FA147C" w:rsidRDefault="00FA147C" w:rsidP="00FA147C">
      <w:pPr>
        <w:pStyle w:val="Akapitzlist"/>
        <w:numPr>
          <w:ilvl w:val="0"/>
          <w:numId w:val="6"/>
        </w:numPr>
        <w:autoSpaceDE w:val="0"/>
        <w:autoSpaceDN w:val="0"/>
        <w:spacing w:after="0" w:line="360" w:lineRule="auto"/>
        <w:contextualSpacing w:val="0"/>
        <w:rPr>
          <w:color w:val="000000" w:themeColor="text1"/>
          <w:sz w:val="20"/>
          <w:szCs w:val="20"/>
        </w:rPr>
      </w:pPr>
      <w:r w:rsidRPr="00FA147C">
        <w:rPr>
          <w:color w:val="000000" w:themeColor="text1"/>
          <w:sz w:val="20"/>
          <w:szCs w:val="20"/>
        </w:rPr>
        <w:t xml:space="preserve"> Wykonawca odpowiada dodatkowo z tytułu rękojmi za wady na zasadach wynikających z Kodeksu cywilnego przez okres równy okresowi gwarancji.</w:t>
      </w:r>
    </w:p>
    <w:p w14:paraId="68877BAF" w14:textId="77777777" w:rsidR="00FA147C" w:rsidRPr="00FA147C" w:rsidRDefault="00FA147C" w:rsidP="00FA147C">
      <w:pPr>
        <w:rPr>
          <w:rFonts w:asciiTheme="minorHAnsi" w:hAnsiTheme="minorHAnsi"/>
          <w:sz w:val="20"/>
          <w:lang w:eastAsia="en-US"/>
        </w:rPr>
      </w:pPr>
    </w:p>
    <w:p w14:paraId="3F521ED2" w14:textId="41ACDFC8" w:rsidR="0087110A" w:rsidRPr="00D617BF" w:rsidRDefault="00216546" w:rsidP="00216546">
      <w:pPr>
        <w:pStyle w:val="Nagwek1"/>
        <w:rPr>
          <w:rFonts w:asciiTheme="minorHAnsi" w:hAnsiTheme="minorHAnsi"/>
          <w:b/>
          <w:bCs/>
          <w:sz w:val="26"/>
          <w:szCs w:val="26"/>
        </w:rPr>
      </w:pPr>
      <w:r w:rsidRPr="00D617BF">
        <w:rPr>
          <w:rFonts w:asciiTheme="minorHAnsi" w:hAnsiTheme="minorHAnsi"/>
          <w:b/>
          <w:bCs/>
          <w:sz w:val="26"/>
          <w:szCs w:val="26"/>
        </w:rPr>
        <w:lastRenderedPageBreak/>
        <w:t>Usługa integracji systemu kopii zapasowych</w:t>
      </w:r>
    </w:p>
    <w:p w14:paraId="142CDFC6" w14:textId="4D2F8F55" w:rsidR="004D3639" w:rsidRPr="00FA147C" w:rsidRDefault="00216546">
      <w:pPr>
        <w:rPr>
          <w:rFonts w:asciiTheme="minorHAnsi" w:hAnsiTheme="minorHAnsi"/>
          <w:sz w:val="20"/>
        </w:rPr>
      </w:pPr>
      <w:r w:rsidRPr="00FA147C">
        <w:rPr>
          <w:rFonts w:asciiTheme="minorHAnsi" w:hAnsiTheme="minorHAnsi"/>
          <w:sz w:val="20"/>
          <w:lang w:eastAsia="en-US"/>
        </w:rPr>
        <w:t>Wykonawca zobowiązany jest wykonać integrację systemu kopii zapasowych ze środowiskiem Zamawiającego.</w:t>
      </w:r>
      <w:r w:rsidR="00410D9A">
        <w:rPr>
          <w:rFonts w:asciiTheme="minorHAnsi" w:hAnsiTheme="minorHAnsi"/>
          <w:sz w:val="20"/>
          <w:lang w:eastAsia="en-US"/>
        </w:rPr>
        <w:t xml:space="preserve"> </w:t>
      </w:r>
      <w:r w:rsidR="00410D9A">
        <w:rPr>
          <w:rFonts w:asciiTheme="minorHAnsi" w:eastAsia="Calibri" w:hAnsiTheme="minorHAnsi" w:cs="Arial"/>
          <w:sz w:val="20"/>
          <w:lang w:val="cs-CZ" w:eastAsia="pl-PL"/>
        </w:rPr>
        <w:t>Usługa polega na</w:t>
      </w:r>
      <w:r w:rsidR="00410D9A" w:rsidRPr="00FA147C">
        <w:rPr>
          <w:rFonts w:asciiTheme="minorHAnsi" w:eastAsia="Calibri" w:hAnsiTheme="minorHAnsi" w:cs="Arial"/>
          <w:sz w:val="20"/>
          <w:lang w:val="cs-CZ" w:eastAsia="pl-PL"/>
        </w:rPr>
        <w:t xml:space="preserve"> integracj</w:t>
      </w:r>
      <w:r w:rsidR="00410D9A">
        <w:rPr>
          <w:rFonts w:asciiTheme="minorHAnsi" w:eastAsia="Calibri" w:hAnsiTheme="minorHAnsi" w:cs="Arial"/>
          <w:sz w:val="20"/>
          <w:lang w:val="cs-CZ" w:eastAsia="pl-PL"/>
        </w:rPr>
        <w:t xml:space="preserve">i </w:t>
      </w:r>
      <w:r w:rsidR="00410D9A" w:rsidRPr="00FA147C">
        <w:rPr>
          <w:rFonts w:asciiTheme="minorHAnsi" w:eastAsia="Calibri" w:hAnsiTheme="minorHAnsi" w:cs="Arial"/>
          <w:sz w:val="20"/>
          <w:lang w:val="cs-CZ" w:eastAsia="pl-PL"/>
        </w:rPr>
        <w:t xml:space="preserve">systemu kopii zapsowych ze środowiskiem Zamawiającego – </w:t>
      </w:r>
      <w:r w:rsidR="006C05C1">
        <w:rPr>
          <w:rFonts w:asciiTheme="minorHAnsi" w:eastAsia="Calibri" w:hAnsiTheme="minorHAnsi" w:cs="Arial"/>
          <w:sz w:val="20"/>
          <w:lang w:val="cs-CZ" w:eastAsia="pl-PL"/>
        </w:rPr>
        <w:t xml:space="preserve">Wykonawca zobowiązany jest </w:t>
      </w:r>
      <w:r w:rsidR="00410D9A" w:rsidRPr="00FA147C">
        <w:rPr>
          <w:rFonts w:asciiTheme="minorHAnsi" w:eastAsia="Calibri" w:hAnsiTheme="minorHAnsi" w:cs="Arial"/>
          <w:sz w:val="20"/>
          <w:lang w:val="cs-CZ" w:eastAsia="pl-PL"/>
        </w:rPr>
        <w:t>wykonać konfigurację przełączników FC Brocade G620, przełączników Ethernet Arista 7050SX oraz macierzy dyskowych/deduplikatorów Huawei.</w:t>
      </w:r>
      <w:r w:rsidRPr="00FA147C">
        <w:rPr>
          <w:rFonts w:asciiTheme="minorHAnsi" w:hAnsiTheme="minorHAnsi"/>
          <w:sz w:val="20"/>
          <w:lang w:eastAsia="en-US"/>
        </w:rPr>
        <w:t xml:space="preserve"> Usługa zostanie zrealizowana przez </w:t>
      </w:r>
      <w:r w:rsidR="006C05C1">
        <w:rPr>
          <w:rFonts w:asciiTheme="minorHAnsi" w:hAnsiTheme="minorHAnsi"/>
          <w:sz w:val="20"/>
          <w:lang w:eastAsia="en-US"/>
        </w:rPr>
        <w:t>zespół wskazany przez Wykonawcę w wykazie osób.</w:t>
      </w:r>
    </w:p>
    <w:sectPr w:rsidR="004D3639" w:rsidRPr="00FA147C" w:rsidSect="0087110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9F253" w14:textId="77777777" w:rsidR="008B69F0" w:rsidRDefault="008B69F0" w:rsidP="00392E73">
      <w:pPr>
        <w:spacing w:after="0" w:line="240" w:lineRule="auto"/>
      </w:pPr>
      <w:r>
        <w:separator/>
      </w:r>
    </w:p>
  </w:endnote>
  <w:endnote w:type="continuationSeparator" w:id="0">
    <w:p w14:paraId="1FC37FD2" w14:textId="77777777" w:rsidR="008B69F0" w:rsidRDefault="008B69F0" w:rsidP="00392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9F4E7" w14:textId="0C98F84F" w:rsidR="00392E73" w:rsidRDefault="00392E73" w:rsidP="00392E73">
    <w:pPr>
      <w:pStyle w:val="Stopka"/>
      <w:jc w:val="center"/>
    </w:pPr>
  </w:p>
  <w:p w14:paraId="3E1AEBCF" w14:textId="77777777" w:rsidR="001243F7" w:rsidRPr="001243F7" w:rsidRDefault="001243F7" w:rsidP="001243F7">
    <w:pPr>
      <w:pBdr>
        <w:bottom w:val="single" w:sz="12" w:space="1" w:color="auto"/>
      </w:pBdr>
      <w:tabs>
        <w:tab w:val="left" w:pos="3757"/>
      </w:tabs>
      <w:spacing w:after="0" w:line="240" w:lineRule="auto"/>
      <w:contextualSpacing w:val="0"/>
      <w:jc w:val="left"/>
      <w:rPr>
        <w:rFonts w:ascii="Times New Roman" w:eastAsia="Times New Roman" w:hAnsi="Times New Roman"/>
        <w:sz w:val="20"/>
        <w:lang w:eastAsia="pl-PL"/>
      </w:rPr>
    </w:pPr>
    <w:bookmarkStart w:id="6" w:name="OLE_LINK36"/>
    <w:r w:rsidRPr="001243F7">
      <w:rPr>
        <w:rFonts w:ascii="Times New Roman" w:eastAsia="Times New Roman" w:hAnsi="Times New Roman"/>
        <w:sz w:val="20"/>
        <w:lang w:eastAsia="pl-PL"/>
      </w:rPr>
      <w:tab/>
    </w:r>
  </w:p>
  <w:p w14:paraId="29D5338D" w14:textId="77777777" w:rsidR="001243F7" w:rsidRPr="001243F7" w:rsidRDefault="001243F7" w:rsidP="001243F7">
    <w:pPr>
      <w:spacing w:after="0" w:line="240" w:lineRule="auto"/>
      <w:contextualSpacing w:val="0"/>
      <w:jc w:val="left"/>
      <w:rPr>
        <w:rFonts w:ascii="Times New Roman" w:eastAsia="Times New Roman" w:hAnsi="Times New Roman"/>
        <w:sz w:val="20"/>
        <w:lang w:eastAsia="pl-PL"/>
      </w:rPr>
    </w:pPr>
    <w:r w:rsidRPr="001243F7">
      <w:rPr>
        <w:rFonts w:ascii="Times New Roman" w:eastAsia="Times New Roman" w:hAnsi="Times New Roman"/>
        <w:sz w:val="20"/>
        <w:lang w:eastAsia="pl-PL"/>
      </w:rPr>
      <w:t xml:space="preserve">Specyfikacja warunków zamówienia </w:t>
    </w:r>
    <w:r w:rsidRPr="001243F7">
      <w:rPr>
        <w:rFonts w:ascii="Times New Roman" w:eastAsia="Times New Roman" w:hAnsi="Times New Roman"/>
        <w:sz w:val="20"/>
        <w:lang w:eastAsia="pl-PL"/>
      </w:rPr>
      <w:tab/>
    </w:r>
    <w:r w:rsidRPr="001243F7">
      <w:rPr>
        <w:rFonts w:ascii="Times New Roman" w:eastAsia="Times New Roman" w:hAnsi="Times New Roman"/>
        <w:sz w:val="20"/>
        <w:lang w:eastAsia="pl-PL"/>
      </w:rPr>
      <w:tab/>
    </w:r>
    <w:r w:rsidRPr="001243F7">
      <w:rPr>
        <w:rFonts w:ascii="Times New Roman" w:eastAsia="Times New Roman" w:hAnsi="Times New Roman"/>
        <w:sz w:val="20"/>
        <w:lang w:eastAsia="pl-PL"/>
      </w:rPr>
      <w:tab/>
    </w:r>
    <w:r w:rsidRPr="001243F7">
      <w:rPr>
        <w:rFonts w:ascii="Times New Roman" w:eastAsia="Times New Roman" w:hAnsi="Times New Roman"/>
        <w:sz w:val="20"/>
        <w:lang w:eastAsia="pl-PL"/>
      </w:rPr>
      <w:tab/>
    </w:r>
    <w:r w:rsidRPr="001243F7">
      <w:rPr>
        <w:rFonts w:ascii="Times New Roman" w:eastAsia="Times New Roman" w:hAnsi="Times New Roman"/>
        <w:sz w:val="20"/>
        <w:lang w:eastAsia="pl-PL"/>
      </w:rPr>
      <w:tab/>
    </w:r>
    <w:r w:rsidRPr="001243F7">
      <w:rPr>
        <w:rFonts w:ascii="Times New Roman" w:eastAsia="Times New Roman" w:hAnsi="Times New Roman"/>
        <w:sz w:val="20"/>
        <w:lang w:eastAsia="pl-PL"/>
      </w:rPr>
      <w:tab/>
      <w:t xml:space="preserve">Strona </w:t>
    </w:r>
    <w:r w:rsidRPr="001243F7">
      <w:rPr>
        <w:rFonts w:ascii="Times New Roman" w:eastAsia="Times New Roman" w:hAnsi="Times New Roman"/>
        <w:sz w:val="20"/>
        <w:lang w:eastAsia="pl-PL"/>
      </w:rPr>
      <w:fldChar w:fldCharType="begin"/>
    </w:r>
    <w:r w:rsidRPr="001243F7">
      <w:rPr>
        <w:rFonts w:ascii="Times New Roman" w:eastAsia="Times New Roman" w:hAnsi="Times New Roman"/>
        <w:sz w:val="20"/>
        <w:lang w:eastAsia="pl-PL"/>
      </w:rPr>
      <w:instrText xml:space="preserve"> PAGE </w:instrText>
    </w:r>
    <w:r w:rsidRPr="001243F7">
      <w:rPr>
        <w:rFonts w:ascii="Times New Roman" w:eastAsia="Times New Roman" w:hAnsi="Times New Roman"/>
        <w:sz w:val="20"/>
        <w:lang w:eastAsia="pl-PL"/>
      </w:rPr>
      <w:fldChar w:fldCharType="separate"/>
    </w:r>
    <w:r w:rsidRPr="001243F7">
      <w:rPr>
        <w:rFonts w:ascii="Times New Roman" w:eastAsia="Times New Roman" w:hAnsi="Times New Roman"/>
        <w:sz w:val="20"/>
        <w:lang w:eastAsia="pl-PL"/>
      </w:rPr>
      <w:t>2</w:t>
    </w:r>
    <w:r w:rsidRPr="001243F7">
      <w:rPr>
        <w:rFonts w:ascii="Times New Roman" w:eastAsia="Times New Roman" w:hAnsi="Times New Roman"/>
        <w:sz w:val="20"/>
        <w:lang w:eastAsia="pl-PL"/>
      </w:rPr>
      <w:fldChar w:fldCharType="end"/>
    </w:r>
    <w:r w:rsidRPr="001243F7">
      <w:rPr>
        <w:rFonts w:ascii="Times New Roman" w:eastAsia="Times New Roman" w:hAnsi="Times New Roman"/>
        <w:sz w:val="20"/>
        <w:lang w:eastAsia="pl-PL"/>
      </w:rPr>
      <w:t xml:space="preserve"> z </w:t>
    </w:r>
    <w:r w:rsidRPr="001243F7">
      <w:rPr>
        <w:rFonts w:ascii="Times New Roman" w:eastAsia="Times New Roman" w:hAnsi="Times New Roman"/>
        <w:sz w:val="20"/>
        <w:lang w:eastAsia="pl-PL"/>
      </w:rPr>
      <w:fldChar w:fldCharType="begin"/>
    </w:r>
    <w:r w:rsidRPr="001243F7">
      <w:rPr>
        <w:rFonts w:ascii="Times New Roman" w:eastAsia="Times New Roman" w:hAnsi="Times New Roman"/>
        <w:sz w:val="20"/>
        <w:lang w:eastAsia="pl-PL"/>
      </w:rPr>
      <w:instrText xml:space="preserve"> NUMPAGES </w:instrText>
    </w:r>
    <w:r w:rsidRPr="001243F7">
      <w:rPr>
        <w:rFonts w:ascii="Times New Roman" w:eastAsia="Times New Roman" w:hAnsi="Times New Roman"/>
        <w:sz w:val="20"/>
        <w:lang w:eastAsia="pl-PL"/>
      </w:rPr>
      <w:fldChar w:fldCharType="separate"/>
    </w:r>
    <w:r w:rsidRPr="001243F7">
      <w:rPr>
        <w:rFonts w:ascii="Times New Roman" w:eastAsia="Times New Roman" w:hAnsi="Times New Roman"/>
        <w:sz w:val="20"/>
        <w:lang w:eastAsia="pl-PL"/>
      </w:rPr>
      <w:t>20</w:t>
    </w:r>
    <w:r w:rsidRPr="001243F7">
      <w:rPr>
        <w:rFonts w:ascii="Times New Roman" w:eastAsia="Times New Roman" w:hAnsi="Times New Roman"/>
        <w:sz w:val="20"/>
        <w:lang w:eastAsia="pl-PL"/>
      </w:rPr>
      <w:fldChar w:fldCharType="end"/>
    </w:r>
  </w:p>
  <w:p w14:paraId="73276968" w14:textId="77777777" w:rsidR="001243F7" w:rsidRPr="001243F7" w:rsidRDefault="001243F7" w:rsidP="001243F7">
    <w:pPr>
      <w:spacing w:after="0" w:line="240" w:lineRule="auto"/>
      <w:contextualSpacing w:val="0"/>
      <w:jc w:val="left"/>
      <w:rPr>
        <w:rFonts w:ascii="Times New Roman" w:eastAsia="Times New Roman" w:hAnsi="Times New Roman"/>
        <w:sz w:val="20"/>
        <w:lang w:eastAsia="pl-PL"/>
      </w:rPr>
    </w:pPr>
    <w:r w:rsidRPr="001243F7">
      <w:rPr>
        <w:rFonts w:ascii="Times New Roman" w:eastAsia="Times New Roman" w:hAnsi="Times New Roman"/>
        <w:sz w:val="20"/>
        <w:lang w:eastAsia="pl-PL"/>
      </w:rPr>
      <w:t>Nr sprawy: ZAiBI.233.7.2026</w:t>
    </w:r>
  </w:p>
  <w:bookmarkEnd w:id="6"/>
  <w:p w14:paraId="7B14F09E" w14:textId="4766E888" w:rsidR="00392E73" w:rsidRDefault="00392E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4505C" w14:textId="77777777" w:rsidR="008B69F0" w:rsidRDefault="008B69F0" w:rsidP="00392E73">
      <w:pPr>
        <w:spacing w:after="0" w:line="240" w:lineRule="auto"/>
      </w:pPr>
      <w:r>
        <w:separator/>
      </w:r>
    </w:p>
  </w:footnote>
  <w:footnote w:type="continuationSeparator" w:id="0">
    <w:p w14:paraId="497DC95A" w14:textId="77777777" w:rsidR="008B69F0" w:rsidRDefault="008B69F0" w:rsidP="00392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A3EDE" w14:textId="426182D2" w:rsidR="00392E73" w:rsidRDefault="00392E73">
    <w:pPr>
      <w:pStyle w:val="Nagwek"/>
    </w:pPr>
    <w:r>
      <w:rPr>
        <w:noProof/>
      </w:rPr>
      <w:drawing>
        <wp:inline distT="0" distB="0" distL="0" distR="0" wp14:anchorId="69F1DC7D" wp14:editId="185CFCF8">
          <wp:extent cx="5761355" cy="646430"/>
          <wp:effectExtent l="0" t="0" r="0" b="1270"/>
          <wp:docPr id="11171866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464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573A6"/>
    <w:multiLevelType w:val="hybridMultilevel"/>
    <w:tmpl w:val="804A23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9233FF"/>
    <w:multiLevelType w:val="hybridMultilevel"/>
    <w:tmpl w:val="529E111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483B02"/>
    <w:multiLevelType w:val="hybridMultilevel"/>
    <w:tmpl w:val="188C10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71128BB"/>
    <w:multiLevelType w:val="hybridMultilevel"/>
    <w:tmpl w:val="804A23E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8173AA4"/>
    <w:multiLevelType w:val="multilevel"/>
    <w:tmpl w:val="7FEE31F4"/>
    <w:lvl w:ilvl="0">
      <w:start w:val="1"/>
      <w:numFmt w:val="lowerLetter"/>
      <w:lvlText w:val="%1)"/>
      <w:lvlJc w:val="left"/>
      <w:pPr>
        <w:tabs>
          <w:tab w:val="num" w:pos="927"/>
        </w:tabs>
        <w:ind w:left="927"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65A4F71"/>
    <w:multiLevelType w:val="hybridMultilevel"/>
    <w:tmpl w:val="804A23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017680E"/>
    <w:multiLevelType w:val="hybridMultilevel"/>
    <w:tmpl w:val="3EC8D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E607D6C"/>
    <w:multiLevelType w:val="hybridMultilevel"/>
    <w:tmpl w:val="56767D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43771894">
    <w:abstractNumId w:val="1"/>
  </w:num>
  <w:num w:numId="2" w16cid:durableId="779960470">
    <w:abstractNumId w:val="6"/>
  </w:num>
  <w:num w:numId="3" w16cid:durableId="631446227">
    <w:abstractNumId w:val="4"/>
  </w:num>
  <w:num w:numId="4" w16cid:durableId="1015107560">
    <w:abstractNumId w:val="2"/>
  </w:num>
  <w:num w:numId="5" w16cid:durableId="794834532">
    <w:abstractNumId w:val="3"/>
  </w:num>
  <w:num w:numId="6" w16cid:durableId="1668285816">
    <w:abstractNumId w:val="5"/>
  </w:num>
  <w:num w:numId="7" w16cid:durableId="32582053">
    <w:abstractNumId w:val="0"/>
  </w:num>
  <w:num w:numId="8" w16cid:durableId="2600664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D81"/>
    <w:rsid w:val="00044785"/>
    <w:rsid w:val="00062C2A"/>
    <w:rsid w:val="000A4C4F"/>
    <w:rsid w:val="000A7A96"/>
    <w:rsid w:val="000C481F"/>
    <w:rsid w:val="000E652C"/>
    <w:rsid w:val="001243F7"/>
    <w:rsid w:val="00164BBD"/>
    <w:rsid w:val="00216546"/>
    <w:rsid w:val="00237095"/>
    <w:rsid w:val="002A0C6E"/>
    <w:rsid w:val="00363CCB"/>
    <w:rsid w:val="00392E73"/>
    <w:rsid w:val="003F5DD6"/>
    <w:rsid w:val="00410D9A"/>
    <w:rsid w:val="004161A2"/>
    <w:rsid w:val="00451AF1"/>
    <w:rsid w:val="00484548"/>
    <w:rsid w:val="004D3639"/>
    <w:rsid w:val="004D54E7"/>
    <w:rsid w:val="004F1C9D"/>
    <w:rsid w:val="0064474B"/>
    <w:rsid w:val="006C05C1"/>
    <w:rsid w:val="007879E2"/>
    <w:rsid w:val="00810CF5"/>
    <w:rsid w:val="008629C1"/>
    <w:rsid w:val="0087110A"/>
    <w:rsid w:val="00880755"/>
    <w:rsid w:val="008B69F0"/>
    <w:rsid w:val="008E3689"/>
    <w:rsid w:val="008F2A50"/>
    <w:rsid w:val="00911D81"/>
    <w:rsid w:val="009C0CA5"/>
    <w:rsid w:val="00A25EAA"/>
    <w:rsid w:val="00A40C95"/>
    <w:rsid w:val="00A54081"/>
    <w:rsid w:val="00B03E03"/>
    <w:rsid w:val="00BA501F"/>
    <w:rsid w:val="00BC0396"/>
    <w:rsid w:val="00C20334"/>
    <w:rsid w:val="00D03B1F"/>
    <w:rsid w:val="00D617BF"/>
    <w:rsid w:val="00E9177E"/>
    <w:rsid w:val="00EA1B29"/>
    <w:rsid w:val="00EB222D"/>
    <w:rsid w:val="00F82615"/>
    <w:rsid w:val="00FA147C"/>
    <w:rsid w:val="00FB76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A88D9"/>
  <w15:chartTrackingRefBased/>
  <w15:docId w15:val="{9924099F-6693-4A4F-945A-1EC5A203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110A"/>
    <w:pPr>
      <w:spacing w:after="120" w:line="276" w:lineRule="auto"/>
      <w:contextualSpacing/>
      <w:jc w:val="both"/>
    </w:pPr>
    <w:rPr>
      <w:rFonts w:ascii="Calibri" w:eastAsia="MS Mincho" w:hAnsi="Calibri" w:cs="Times New Roman"/>
      <w:kern w:val="0"/>
      <w:sz w:val="22"/>
      <w:szCs w:val="20"/>
      <w:lang w:eastAsia="ja-JP"/>
      <w14:ligatures w14:val="none"/>
    </w:rPr>
  </w:style>
  <w:style w:type="paragraph" w:styleId="Nagwek1">
    <w:name w:val="heading 1"/>
    <w:basedOn w:val="Normalny"/>
    <w:next w:val="Normalny"/>
    <w:link w:val="Nagwek1Znak"/>
    <w:uiPriority w:val="9"/>
    <w:qFormat/>
    <w:rsid w:val="00216546"/>
    <w:pPr>
      <w:keepNext/>
      <w:keepLines/>
      <w:spacing w:before="360" w:after="80" w:line="278" w:lineRule="auto"/>
      <w:contextualSpacing w:val="0"/>
      <w:jc w:val="left"/>
      <w:outlineLvl w:val="0"/>
    </w:pPr>
    <w:rPr>
      <w:rFonts w:asciiTheme="majorHAnsi" w:eastAsiaTheme="majorEastAsia" w:hAnsiTheme="majorHAnsi" w:cstheme="majorBidi"/>
      <w:kern w:val="2"/>
      <w:sz w:val="40"/>
      <w:szCs w:val="40"/>
      <w:lang w:eastAsia="en-US"/>
      <w14:ligatures w14:val="standardContextual"/>
    </w:rPr>
  </w:style>
  <w:style w:type="paragraph" w:styleId="Nagwek2">
    <w:name w:val="heading 2"/>
    <w:basedOn w:val="Normalny"/>
    <w:next w:val="Normalny"/>
    <w:link w:val="Nagwek2Znak"/>
    <w:uiPriority w:val="9"/>
    <w:unhideWhenUsed/>
    <w:qFormat/>
    <w:rsid w:val="00911D81"/>
    <w:pPr>
      <w:keepNext/>
      <w:keepLines/>
      <w:spacing w:before="160" w:after="80" w:line="278" w:lineRule="auto"/>
      <w:contextualSpacing w:val="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911D81"/>
    <w:pPr>
      <w:keepNext/>
      <w:keepLines/>
      <w:spacing w:before="160" w:after="80" w:line="278" w:lineRule="auto"/>
      <w:contextualSpacing w:val="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911D81"/>
    <w:pPr>
      <w:keepNext/>
      <w:keepLines/>
      <w:spacing w:before="80" w:after="40" w:line="278" w:lineRule="auto"/>
      <w:contextualSpacing w:val="0"/>
      <w:jc w:val="left"/>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Nagwek5">
    <w:name w:val="heading 5"/>
    <w:basedOn w:val="Normalny"/>
    <w:next w:val="Normalny"/>
    <w:link w:val="Nagwek5Znak"/>
    <w:uiPriority w:val="9"/>
    <w:semiHidden/>
    <w:unhideWhenUsed/>
    <w:qFormat/>
    <w:rsid w:val="00911D81"/>
    <w:pPr>
      <w:keepNext/>
      <w:keepLines/>
      <w:spacing w:before="80" w:after="40" w:line="278" w:lineRule="auto"/>
      <w:contextualSpacing w:val="0"/>
      <w:jc w:val="left"/>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Nagwek6">
    <w:name w:val="heading 6"/>
    <w:basedOn w:val="Normalny"/>
    <w:next w:val="Normalny"/>
    <w:link w:val="Nagwek6Znak"/>
    <w:uiPriority w:val="9"/>
    <w:semiHidden/>
    <w:unhideWhenUsed/>
    <w:qFormat/>
    <w:rsid w:val="00911D81"/>
    <w:pPr>
      <w:keepNext/>
      <w:keepLines/>
      <w:spacing w:before="40" w:after="0" w:line="278" w:lineRule="auto"/>
      <w:contextualSpacing w:val="0"/>
      <w:jc w:val="left"/>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Nagwek7">
    <w:name w:val="heading 7"/>
    <w:basedOn w:val="Normalny"/>
    <w:next w:val="Normalny"/>
    <w:link w:val="Nagwek7Znak"/>
    <w:uiPriority w:val="9"/>
    <w:semiHidden/>
    <w:unhideWhenUsed/>
    <w:qFormat/>
    <w:rsid w:val="00911D81"/>
    <w:pPr>
      <w:keepNext/>
      <w:keepLines/>
      <w:spacing w:before="40" w:after="0" w:line="278" w:lineRule="auto"/>
      <w:contextualSpacing w:val="0"/>
      <w:jc w:val="left"/>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Nagwek8">
    <w:name w:val="heading 8"/>
    <w:basedOn w:val="Normalny"/>
    <w:next w:val="Normalny"/>
    <w:link w:val="Nagwek8Znak"/>
    <w:uiPriority w:val="9"/>
    <w:semiHidden/>
    <w:unhideWhenUsed/>
    <w:qFormat/>
    <w:rsid w:val="00911D81"/>
    <w:pPr>
      <w:keepNext/>
      <w:keepLines/>
      <w:spacing w:after="0" w:line="278" w:lineRule="auto"/>
      <w:contextualSpacing w:val="0"/>
      <w:jc w:val="left"/>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Nagwek9">
    <w:name w:val="heading 9"/>
    <w:basedOn w:val="Normalny"/>
    <w:next w:val="Normalny"/>
    <w:link w:val="Nagwek9Znak"/>
    <w:uiPriority w:val="9"/>
    <w:semiHidden/>
    <w:unhideWhenUsed/>
    <w:qFormat/>
    <w:rsid w:val="00911D81"/>
    <w:pPr>
      <w:keepNext/>
      <w:keepLines/>
      <w:spacing w:after="0" w:line="278" w:lineRule="auto"/>
      <w:contextualSpacing w:val="0"/>
      <w:jc w:val="left"/>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16546"/>
    <w:rPr>
      <w:rFonts w:asciiTheme="majorHAnsi" w:eastAsiaTheme="majorEastAsia" w:hAnsiTheme="majorHAnsi" w:cstheme="majorBidi"/>
      <w:sz w:val="40"/>
      <w:szCs w:val="40"/>
    </w:rPr>
  </w:style>
  <w:style w:type="character" w:customStyle="1" w:styleId="Nagwek2Znak">
    <w:name w:val="Nagłówek 2 Znak"/>
    <w:basedOn w:val="Domylnaczcionkaakapitu"/>
    <w:link w:val="Nagwek2"/>
    <w:uiPriority w:val="9"/>
    <w:semiHidden/>
    <w:rsid w:val="00911D8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11D8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11D8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11D8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11D8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11D8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11D8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11D81"/>
    <w:rPr>
      <w:rFonts w:eastAsiaTheme="majorEastAsia" w:cstheme="majorBidi"/>
      <w:color w:val="272727" w:themeColor="text1" w:themeTint="D8"/>
    </w:rPr>
  </w:style>
  <w:style w:type="paragraph" w:styleId="Tytu">
    <w:name w:val="Title"/>
    <w:basedOn w:val="Normalny"/>
    <w:next w:val="Normalny"/>
    <w:link w:val="TytuZnak"/>
    <w:uiPriority w:val="10"/>
    <w:qFormat/>
    <w:rsid w:val="00911D81"/>
    <w:pPr>
      <w:spacing w:after="80" w:line="240" w:lineRule="auto"/>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911D8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11D81"/>
    <w:pPr>
      <w:numPr>
        <w:ilvl w:val="1"/>
      </w:numPr>
      <w:spacing w:after="160" w:line="278" w:lineRule="auto"/>
      <w:contextualSpacing w:val="0"/>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911D8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11D81"/>
    <w:pPr>
      <w:spacing w:before="160" w:after="160" w:line="278" w:lineRule="auto"/>
      <w:contextualSpacing w:val="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ytatZnak">
    <w:name w:val="Cytat Znak"/>
    <w:basedOn w:val="Domylnaczcionkaakapitu"/>
    <w:link w:val="Cytat"/>
    <w:uiPriority w:val="29"/>
    <w:rsid w:val="00911D81"/>
    <w:rPr>
      <w:i/>
      <w:iCs/>
      <w:color w:val="404040" w:themeColor="text1" w:themeTint="BF"/>
    </w:rPr>
  </w:style>
  <w:style w:type="paragraph" w:styleId="Akapitzlist">
    <w:name w:val="List Paragraph"/>
    <w:basedOn w:val="Normalny"/>
    <w:uiPriority w:val="34"/>
    <w:qFormat/>
    <w:rsid w:val="00911D81"/>
    <w:pPr>
      <w:spacing w:after="160" w:line="278" w:lineRule="auto"/>
      <w:ind w:left="720"/>
      <w:jc w:val="left"/>
    </w:pPr>
    <w:rPr>
      <w:rFonts w:asciiTheme="minorHAnsi" w:eastAsiaTheme="minorHAnsi" w:hAnsiTheme="minorHAnsi" w:cstheme="minorBidi"/>
      <w:kern w:val="2"/>
      <w:sz w:val="24"/>
      <w:szCs w:val="24"/>
      <w:lang w:eastAsia="en-US"/>
      <w14:ligatures w14:val="standardContextual"/>
    </w:rPr>
  </w:style>
  <w:style w:type="character" w:styleId="Wyrnienieintensywne">
    <w:name w:val="Intense Emphasis"/>
    <w:basedOn w:val="Domylnaczcionkaakapitu"/>
    <w:uiPriority w:val="21"/>
    <w:qFormat/>
    <w:rsid w:val="00911D81"/>
    <w:rPr>
      <w:i/>
      <w:iCs/>
      <w:color w:val="0F4761" w:themeColor="accent1" w:themeShade="BF"/>
    </w:rPr>
  </w:style>
  <w:style w:type="paragraph" w:styleId="Cytatintensywny">
    <w:name w:val="Intense Quote"/>
    <w:basedOn w:val="Normalny"/>
    <w:next w:val="Normalny"/>
    <w:link w:val="CytatintensywnyZnak"/>
    <w:uiPriority w:val="30"/>
    <w:qFormat/>
    <w:rsid w:val="00911D81"/>
    <w:pPr>
      <w:pBdr>
        <w:top w:val="single" w:sz="4" w:space="10" w:color="0F4761" w:themeColor="accent1" w:themeShade="BF"/>
        <w:bottom w:val="single" w:sz="4" w:space="10" w:color="0F4761" w:themeColor="accent1" w:themeShade="BF"/>
      </w:pBdr>
      <w:spacing w:before="360" w:after="360" w:line="278" w:lineRule="auto"/>
      <w:ind w:left="864" w:right="864"/>
      <w:contextualSpacing w:val="0"/>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ytatintensywnyZnak">
    <w:name w:val="Cytat intensywny Znak"/>
    <w:basedOn w:val="Domylnaczcionkaakapitu"/>
    <w:link w:val="Cytatintensywny"/>
    <w:uiPriority w:val="30"/>
    <w:rsid w:val="00911D81"/>
    <w:rPr>
      <w:i/>
      <w:iCs/>
      <w:color w:val="0F4761" w:themeColor="accent1" w:themeShade="BF"/>
    </w:rPr>
  </w:style>
  <w:style w:type="character" w:styleId="Odwoanieintensywne">
    <w:name w:val="Intense Reference"/>
    <w:basedOn w:val="Domylnaczcionkaakapitu"/>
    <w:uiPriority w:val="32"/>
    <w:qFormat/>
    <w:rsid w:val="00911D81"/>
    <w:rPr>
      <w:b/>
      <w:bCs/>
      <w:smallCaps/>
      <w:color w:val="0F4761" w:themeColor="accent1" w:themeShade="BF"/>
      <w:spacing w:val="5"/>
    </w:rPr>
  </w:style>
  <w:style w:type="table" w:customStyle="1" w:styleId="Tabela-EleganckiAW1">
    <w:name w:val="Tabela - Elegancki AW1"/>
    <w:basedOn w:val="Tabela-Elegancki"/>
    <w:uiPriority w:val="99"/>
    <w:rsid w:val="0087110A"/>
    <w:pPr>
      <w:suppressAutoHyphens/>
    </w:pPr>
    <w:rPr>
      <w:rFonts w:ascii="Calibri" w:eastAsia="Times New Roman" w:hAnsi="Calibri" w:cs="Times New Roman"/>
      <w:kern w:val="0"/>
      <w:sz w:val="18"/>
      <w:szCs w:val="20"/>
      <w:lang w:val="en-US" w:eastAsia="pl-PL"/>
      <w14:ligatures w14:val="none"/>
    </w:rPr>
    <w:tblPr>
      <w:jc w:val="center"/>
    </w:tblPr>
    <w:trPr>
      <w:jc w:val="center"/>
    </w:trPr>
    <w:tcPr>
      <w:vAlign w:val="center"/>
    </w:tcPr>
    <w:tblStylePr w:type="firstRow">
      <w:pPr>
        <w:wordWrap/>
        <w:spacing w:before="120" w:beforeAutospacing="0" w:after="120" w:afterAutospacing="0" w:line="276" w:lineRule="auto"/>
        <w:jc w:val="center"/>
      </w:pPr>
      <w:rPr>
        <w:rFonts w:ascii="Calibri" w:hAnsi="Calibri"/>
        <w:b/>
        <w:i w:val="0"/>
        <w:caps/>
        <w:color w:val="auto"/>
        <w:sz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87110A"/>
    <w:pPr>
      <w:spacing w:after="120" w:line="276" w:lineRule="auto"/>
      <w:contextualSpacing/>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agwek">
    <w:name w:val="header"/>
    <w:basedOn w:val="Normalny"/>
    <w:link w:val="NagwekZnak"/>
    <w:uiPriority w:val="99"/>
    <w:unhideWhenUsed/>
    <w:rsid w:val="00392E7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2E73"/>
    <w:rPr>
      <w:rFonts w:ascii="Calibri" w:eastAsia="MS Mincho" w:hAnsi="Calibri" w:cs="Times New Roman"/>
      <w:kern w:val="0"/>
      <w:sz w:val="22"/>
      <w:szCs w:val="20"/>
      <w:lang w:eastAsia="ja-JP"/>
      <w14:ligatures w14:val="none"/>
    </w:rPr>
  </w:style>
  <w:style w:type="paragraph" w:styleId="Stopka">
    <w:name w:val="footer"/>
    <w:basedOn w:val="Normalny"/>
    <w:link w:val="StopkaZnak"/>
    <w:uiPriority w:val="99"/>
    <w:unhideWhenUsed/>
    <w:rsid w:val="00392E7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2E73"/>
    <w:rPr>
      <w:rFonts w:ascii="Calibri" w:eastAsia="MS Mincho" w:hAnsi="Calibri" w:cs="Times New Roman"/>
      <w:kern w:val="0"/>
      <w:sz w:val="22"/>
      <w:szCs w:val="20"/>
      <w:lang w:eastAsia="ja-JP"/>
      <w14:ligatures w14:val="none"/>
    </w:rPr>
  </w:style>
  <w:style w:type="character" w:styleId="Odwoaniedokomentarza">
    <w:name w:val="annotation reference"/>
    <w:basedOn w:val="Domylnaczcionkaakapitu"/>
    <w:uiPriority w:val="99"/>
    <w:semiHidden/>
    <w:unhideWhenUsed/>
    <w:rsid w:val="00A40C95"/>
    <w:rPr>
      <w:sz w:val="16"/>
      <w:szCs w:val="16"/>
    </w:rPr>
  </w:style>
  <w:style w:type="paragraph" w:styleId="Tekstkomentarza">
    <w:name w:val="annotation text"/>
    <w:basedOn w:val="Normalny"/>
    <w:link w:val="TekstkomentarzaZnak"/>
    <w:uiPriority w:val="99"/>
    <w:unhideWhenUsed/>
    <w:rsid w:val="00A40C95"/>
    <w:pPr>
      <w:spacing w:line="240" w:lineRule="auto"/>
    </w:pPr>
    <w:rPr>
      <w:sz w:val="20"/>
    </w:rPr>
  </w:style>
  <w:style w:type="character" w:customStyle="1" w:styleId="TekstkomentarzaZnak">
    <w:name w:val="Tekst komentarza Znak"/>
    <w:basedOn w:val="Domylnaczcionkaakapitu"/>
    <w:link w:val="Tekstkomentarza"/>
    <w:uiPriority w:val="99"/>
    <w:rsid w:val="00A40C95"/>
    <w:rPr>
      <w:rFonts w:ascii="Calibri" w:eastAsia="MS Mincho" w:hAnsi="Calibri" w:cs="Times New Roman"/>
      <w:kern w:val="0"/>
      <w:sz w:val="20"/>
      <w:szCs w:val="20"/>
      <w:lang w:eastAsia="ja-JP"/>
      <w14:ligatures w14:val="none"/>
    </w:rPr>
  </w:style>
  <w:style w:type="paragraph" w:styleId="Tematkomentarza">
    <w:name w:val="annotation subject"/>
    <w:basedOn w:val="Tekstkomentarza"/>
    <w:next w:val="Tekstkomentarza"/>
    <w:link w:val="TematkomentarzaZnak"/>
    <w:uiPriority w:val="99"/>
    <w:semiHidden/>
    <w:unhideWhenUsed/>
    <w:rsid w:val="00A40C95"/>
    <w:rPr>
      <w:b/>
      <w:bCs/>
    </w:rPr>
  </w:style>
  <w:style w:type="character" w:customStyle="1" w:styleId="TematkomentarzaZnak">
    <w:name w:val="Temat komentarza Znak"/>
    <w:basedOn w:val="TekstkomentarzaZnak"/>
    <w:link w:val="Tematkomentarza"/>
    <w:uiPriority w:val="99"/>
    <w:semiHidden/>
    <w:rsid w:val="00A40C95"/>
    <w:rPr>
      <w:rFonts w:ascii="Calibri" w:eastAsia="MS Mincho" w:hAnsi="Calibri" w:cs="Times New Roman"/>
      <w:b/>
      <w:bCs/>
      <w:kern w:val="0"/>
      <w:sz w:val="20"/>
      <w:szCs w:val="20"/>
      <w:lang w:eastAsia="ja-JP"/>
      <w14:ligatures w14:val="none"/>
    </w:rPr>
  </w:style>
  <w:style w:type="paragraph" w:styleId="Poprawka">
    <w:name w:val="Revision"/>
    <w:hidden/>
    <w:uiPriority w:val="99"/>
    <w:semiHidden/>
    <w:rsid w:val="00A40C95"/>
    <w:pPr>
      <w:spacing w:after="0" w:line="240" w:lineRule="auto"/>
    </w:pPr>
    <w:rPr>
      <w:rFonts w:ascii="Calibri" w:eastAsia="MS Mincho" w:hAnsi="Calibri" w:cs="Times New Roman"/>
      <w:kern w:val="0"/>
      <w:sz w:val="22"/>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3771</Words>
  <Characters>22631</Characters>
  <Application>Microsoft Office Word</Application>
  <DocSecurity>0</DocSecurity>
  <Lines>188</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Napiórski Marcin</dc:creator>
  <cp:keywords/>
  <dc:description/>
  <cp:lastModifiedBy>Bień Dorota</cp:lastModifiedBy>
  <cp:revision>4</cp:revision>
  <dcterms:created xsi:type="dcterms:W3CDTF">2026-07-23T08:27:00Z</dcterms:created>
  <dcterms:modified xsi:type="dcterms:W3CDTF">2026-07-29T11:18:00Z</dcterms:modified>
</cp:coreProperties>
</file>