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Gnojno, dnia 1</w:t>
      </w:r>
      <w:r>
        <w:rPr>
          <w:rFonts w:eastAsia="Times New Roman" w:cs="Calibri" w:cstheme="minorHAnsi"/>
          <w:sz w:val="20"/>
          <w:szCs w:val="20"/>
          <w:lang w:eastAsia="pl-PL"/>
        </w:rPr>
        <w:t>1</w:t>
      </w:r>
      <w:r>
        <w:rPr>
          <w:rFonts w:eastAsia="Times New Roman" w:cs="Calibri" w:cstheme="minorHAnsi"/>
          <w:sz w:val="20"/>
          <w:szCs w:val="20"/>
          <w:lang w:eastAsia="pl-PL"/>
        </w:rPr>
        <w:t>.08.2026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bookmarkStart w:id="0" w:name="_Hlk1617367652"/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>IN.I.271.1.2026</w:t>
      </w:r>
      <w:bookmarkEnd w:id="0"/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  <w:t>WYKONAWCY BIORĄCY UDZIAŁ W POSTĘPOWANIU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0"/>
          <w:szCs w:val="20"/>
        </w:rPr>
        <w:t>„</w:t>
      </w:r>
      <w:r>
        <w:rPr>
          <w:rFonts w:eastAsia="Arial" w:cs="Calibri" w:cstheme="minorHAnsi"/>
          <w:b/>
          <w:bCs/>
          <w:i/>
          <w:color w:val="000000" w:themeColor="text1"/>
          <w:sz w:val="20"/>
          <w:szCs w:val="20"/>
        </w:rPr>
        <w:t xml:space="preserve">Poprawa efektywności energetycznej w sektorze publicznym na terenie Gminy Gnojno poprzez termomodernizację trzech budynków oświatowych”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 xml:space="preserve">WYJAŚNIENIE TREŚCI SWZ NR </w:t>
      </w: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3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Zamawiający Gmina Gnojno działając na podstawie art. 284 ust 2 ustawy Prawo zamówień publicznych z dnia 11 września 2019 r. (Dz. U. z 2022, poz. 1710</w:t>
      </w:r>
      <w:r>
        <w:rPr>
          <w:rFonts w:cs="Calibri" w:cstheme="minorHAnsi"/>
          <w:bCs/>
          <w:sz w:val="20"/>
          <w:szCs w:val="20"/>
        </w:rPr>
        <w:t>),</w:t>
      </w:r>
      <w:r>
        <w:rPr>
          <w:rFonts w:cs="Calibri" w:cstheme="minorHAnsi"/>
          <w:sz w:val="20"/>
          <w:szCs w:val="20"/>
        </w:rPr>
        <w:t xml:space="preserve"> udziela wyjaśnień na następujące pytania, zadane do wyżej wymienionego postępowania:</w:t>
      </w:r>
    </w:p>
    <w:p>
      <w:pPr>
        <w:pStyle w:val="Nagwek12"/>
        <w:keepNext w:val="true"/>
        <w:keepLines/>
        <w:shd w:val="clear" w:color="auto" w:fill="auto"/>
        <w:spacing w:before="0" w:after="0"/>
        <w:ind w:left="0" w:hanging="0"/>
        <w:rPr/>
      </w:pPr>
      <w:bookmarkStart w:id="1" w:name="bookmark3"/>
      <w:bookmarkStart w:id="2" w:name="bookmark2"/>
      <w:r>
        <w:rPr/>
        <w:t>Część I - Termomodernizacja Szkoły Podstawowej w Jarząbkach na dz. nr ew. 101 w miejscowości Grabki Małe Gmina Gnojno</w:t>
      </w:r>
      <w:bookmarkEnd w:id="1"/>
      <w:bookmarkEnd w:id="2"/>
    </w:p>
    <w:p>
      <w:pPr>
        <w:pStyle w:val="Nagwek12"/>
        <w:keepNext w:val="true"/>
        <w:keepLines/>
        <w:shd w:val="clear" w:color="auto" w:fill="auto"/>
        <w:spacing w:before="0" w:after="0"/>
        <w:ind w:left="0" w:hanging="0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276"/>
        <w:rPr/>
      </w:pPr>
      <w:r>
        <w:rPr/>
        <w:t>Prosimy o załączenie zestawienie grzejników przeznaczonych do wymiany.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rPr/>
      </w:pPr>
      <w:r>
        <w:rPr>
          <w:b/>
          <w:color w:val="FF0000"/>
        </w:rPr>
        <w:t xml:space="preserve">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jc w:val="both"/>
        <w:rPr>
          <w:color w:val="FF0000"/>
        </w:rPr>
      </w:pPr>
      <w:r>
        <w:rPr>
          <w:color w:val="FF0000"/>
        </w:rPr>
        <w:t xml:space="preserve">      </w:t>
      </w:r>
      <w:r>
        <w:rPr>
          <w:color w:val="FF0000"/>
        </w:rPr>
        <w:tab/>
      </w:r>
      <w:r>
        <w:rPr>
          <w:color w:val="FF0000"/>
        </w:rPr>
        <w:t>Niniejsze zamówienie odbywa się w systemie zaprojektuj i wybuduj</w:t>
      </w:r>
      <w:r>
        <w:rPr>
          <w:color w:val="FF0000"/>
        </w:rPr>
        <w:t xml:space="preserve"> wiec na etapie projektu i ustaleń  projektant </w:t>
        <w:tab/>
        <w:t>branży sanitarnej oszacuje potrzebną liczbę grzejników niezbędną  do prawidłowej realizacji zadania oraz zgodn</w:t>
      </w:r>
      <w:r>
        <w:rPr>
          <w:color w:val="FF0000"/>
        </w:rPr>
        <w:t>ą</w:t>
      </w:r>
      <w:r>
        <w:rPr>
          <w:color w:val="FF0000"/>
        </w:rPr>
        <w:t xml:space="preserve"> z </w:t>
        <w:tab/>
        <w:t xml:space="preserve">mocą zapotrzebowania na ciepło po wykonaniu odpowiednich niezbędnych obliczeń przez projektanta branży </w:t>
        <w:tab/>
        <w:t xml:space="preserve">sanitarnej w budynku objętym zadaniem zgodnie ze sztuka budowlana oraz obowiązującymi przepisami na dzień </w:t>
        <w:tab/>
        <w:t xml:space="preserve">wykonania projektu. 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331"/>
        <w:rPr/>
      </w:pPr>
      <w:r>
        <w:rPr/>
        <w:t>Prosimy o podanie mocy kotła na pellet przeznaczonego do montażu.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rPr/>
      </w:pPr>
      <w:r>
        <w:rPr/>
        <w:t xml:space="preserve">      </w:t>
      </w:r>
      <w:r>
        <w:rPr>
          <w:b/>
          <w:color w:val="FF0000"/>
        </w:rPr>
        <w:t xml:space="preserve">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jc w:val="both"/>
        <w:rPr>
          <w:color w:val="FF0000"/>
        </w:rPr>
      </w:pPr>
      <w:r>
        <w:rPr>
          <w:color w:val="FF0000"/>
        </w:rPr>
        <w:t xml:space="preserve">       </w:t>
      </w:r>
      <w:r>
        <w:rPr>
          <w:color w:val="FF0000"/>
        </w:rPr>
        <w:t xml:space="preserve">Niniejsze zamówienie odbywa się w systemie zaprojektuj i wybuduj wiec na etapie projektu i ustaleń  projektant </w:t>
        <w:tab/>
        <w:t xml:space="preserve">branży sanitarnej oszacuje potrzebną moc kotła (do ogrzania całej szkoły wraz z sala gimnastyczna)  niezbędną  do </w:t>
        <w:tab/>
        <w:t xml:space="preserve">prawidłowej realizacji zadania oraz zgodna z mocą zapotrzebowania na ciepło po wykonaniu odpowiednich </w:t>
        <w:tab/>
        <w:t xml:space="preserve">niezbędnych obliczeń przez projektanta branży sanitarnej w budynku objętym zadaniem oraz poszczególnych    </w:t>
        <w:tab/>
        <w:t xml:space="preserve">pomieszczeń zgodnie z ich przeznaczeniem , sztuka budowlana oraz obowiązującymi  przepisami na dzień </w:t>
        <w:tab/>
        <w:t xml:space="preserve">    </w:t>
        <w:tab/>
        <w:t xml:space="preserve">wykonania projektu. 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331"/>
        <w:rPr/>
      </w:pPr>
      <w:r>
        <w:rPr/>
        <w:t>Prosimy o załączenie zestawienie opraw oświetleniowych przeznaczonych do wymiany.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rPr>
          <w:color w:val="FF0000"/>
        </w:rPr>
      </w:pPr>
      <w:r>
        <w:rPr>
          <w:color w:val="FF0000"/>
        </w:rPr>
        <w:t xml:space="preserve">        </w:t>
      </w:r>
      <w:r>
        <w:rPr>
          <w:b/>
          <w:color w:val="FF0000"/>
        </w:rPr>
        <w:t>Odpowiedź: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</w:t>
      </w:r>
      <w:r>
        <w:rPr>
          <w:color w:val="FF0000"/>
        </w:rPr>
        <w:t xml:space="preserve">Na etapie postępowania nie jest możliwe podanie szczegółowego zestawienia ilościowego opraw    </w:t>
        <w:tab/>
        <w:t xml:space="preserve">oświetleniowych przeznaczonych do wymiany. Zgodnie z formułą „zaprojektuj i wybuduj”, dobór rodzaju, </w:t>
        <w:tab/>
        <w:t xml:space="preserve">parametrów, rozmieszczenia oraz liczby opraw należy określić na etapie opracowania dokumentacji </w:t>
        <w:tab/>
        <w:t xml:space="preserve">projektowej, </w:t>
        <w:tab/>
        <w:t xml:space="preserve">na podstawie wykonanych obliczeń natężenia oświetlenia dla poszczególnych pomieszczeń, zgodnie z </w:t>
        <w:tab/>
        <w:t xml:space="preserve">obowiązującymi wymaganiami i normami. Wymianie podlegają wszystkie oprawy oświetleniowe w </w:t>
        <w:tab/>
        <w:t xml:space="preserve">pomieszczeniach objętych opracowaniem, zgodnie z opisem części elektrycznej PFU. Ostateczna liczba i typ    </w:t>
        <w:tab/>
        <w:t xml:space="preserve">opraw zostaną określone w dokumentacji projektowej zgodnie ze sztuka budowlana oraz obowiązującymi </w:t>
        <w:tab/>
        <w:t xml:space="preserve">przepisami na dzień opracowania projektu . </w:t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331"/>
        <w:rPr/>
      </w:pPr>
      <w:r>
        <w:rPr/>
        <w:t>Prosimy o podanie mocy magazynu energii przeznaczonego do montażu.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rPr>
          <w:color w:val="FF0000"/>
        </w:rPr>
      </w:pPr>
      <w:r>
        <w:rPr>
          <w:b/>
          <w:color w:val="FF0000"/>
        </w:rPr>
        <w:t xml:space="preserve">       </w:t>
      </w:r>
      <w:r>
        <w:rPr>
          <w:b/>
          <w:color w:val="FF0000"/>
        </w:rPr>
        <w:t>Odpowiedź:</w:t>
      </w:r>
      <w:r>
        <w:rPr/>
        <w:br/>
      </w:r>
      <w:r>
        <w:rPr>
          <w:color w:val="FF0000"/>
        </w:rPr>
        <w:t xml:space="preserve">       Z uwagi na specyfikę użytkowania budynku szkoły oraz zakładany sposób wykorzystania energii z  magazynu, </w:t>
        <w:tab/>
        <w:t xml:space="preserve">przyjmuje się stosunek mocy magazynu energii do jego pojemności na poziomie 1:1. W  związku z powyższym dla </w:t>
        <w:tab/>
        <w:t xml:space="preserve">Szkoły Podstawowej w Jarząbkach należy przyjąć magazyn energii o  mocy ciągłej ładowania i rozładowania 15 </w:t>
        <w:tab/>
        <w:t xml:space="preserve">kW oraz pojemności 15 kWh. Przyjęte parametry  magazynu są kompatybilne z projektowaną instalacją </w:t>
        <w:tab/>
        <w:t xml:space="preserve">fotowoltaiczną o mocy 21,6 kWp. Ostateczny  dobór urządzeń, w tym ich parametrów technicznych oraz sposób </w:t>
        <w:tab/>
        <w:t xml:space="preserve">współpracy magazynu z instalacją  fotowoltaiczną, należy potwierdzić na etapie opracowania dokumentacji </w:t>
        <w:tab/>
        <w:t>projektowej.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331"/>
        <w:ind w:left="380" w:hanging="380"/>
        <w:jc w:val="both"/>
        <w:rPr/>
      </w:pPr>
      <w:r>
        <w:rPr/>
        <w:t>Prosimy o potwierdzenie że należy wykonać miejscowe naprawy po robotach montażowych: stolarki, instalacji sanitarnych i elektrycznych.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ind w:left="380" w:hanging="0"/>
        <w:jc w:val="both"/>
        <w:rPr/>
      </w:pP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ind w:left="380" w:hanging="0"/>
        <w:jc w:val="both"/>
        <w:rPr>
          <w:color w:val="FF0000"/>
        </w:rPr>
      </w:pPr>
      <w:r>
        <w:rPr>
          <w:color w:val="FF0000"/>
        </w:rPr>
        <w:t xml:space="preserve">TAK  należy wykonać naprawy powstałe w wyniku prowadzonych prac budowlanych. sufity należy od szpachlować pomalować całe po wykonanych pracach elektrycznych , ściany,  ościeżnice okienne drzwiowe gdzie będą grzejniki ewentualnie wymieniane drzwi i okna również należy od szpachlować i pomalować całe pomieszczenie w którym jest prowadzony remont na kolor po uzgodnieniu z zamawiającym oraz użytkownikiem . 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ind w:left="380" w:hanging="0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312"/>
        <w:ind w:left="380" w:hanging="380"/>
        <w:jc w:val="both"/>
        <w:rPr/>
      </w:pPr>
      <w:r>
        <w:rPr/>
        <w:t>Prosimy o podanie min, parametrów piktogramów z alfabetem Braila (oznaczenie łazienki) objętych przedmiotem zamówienia.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12"/>
        <w:ind w:left="380" w:hanging="0"/>
        <w:jc w:val="both"/>
        <w:rPr/>
      </w:pP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12"/>
        <w:ind w:left="380" w:hanging="0"/>
        <w:jc w:val="both"/>
        <w:rPr>
          <w:color w:val="FF0000"/>
        </w:rPr>
      </w:pPr>
      <w:r>
        <w:rPr>
          <w:color w:val="FF0000"/>
        </w:rPr>
        <w:t xml:space="preserve">Minimalne parametry piktogramów z alfabetem Braila należy wykonać zgodnie z wytycznymi Polskiego Związku Niewidomych , na etapie projektowania należy  ustalić z zamawiającym oraz użytkownikiem dokładną ilość tekstu i dopasować go do wielkości obowiązujących tabliczek zgodnych z  przepisami , zaleca się stosowanie standardowych rozwiązań wymiarów tabliczek wybranego producenta    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12"/>
        <w:ind w:left="380" w:hanging="0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331"/>
        <w:jc w:val="both"/>
        <w:rPr/>
      </w:pPr>
      <w:r>
        <w:rPr/>
        <w:t>Prosimy o potwierdzenie że parapety wewnętrzne nie są przeznaczone do wymiany.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jc w:val="both"/>
        <w:rPr/>
      </w:pPr>
      <w:r>
        <w:rPr/>
        <w:t xml:space="preserve">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jc w:val="both"/>
        <w:rPr>
          <w:color w:val="FF0000"/>
        </w:rPr>
      </w:pPr>
      <w:r>
        <w:rPr/>
        <w:t xml:space="preserve">       </w:t>
      </w:r>
      <w:r>
        <w:rPr>
          <w:color w:val="FF0000"/>
        </w:rPr>
        <w:t xml:space="preserve"> </w:t>
      </w:r>
      <w:r>
        <w:rPr>
          <w:color w:val="FF0000"/>
        </w:rPr>
        <w:t>P</w:t>
      </w:r>
      <w:r>
        <w:rPr>
          <w:color w:val="FF0000"/>
        </w:rPr>
        <w:t xml:space="preserve">arapety wewnętrzne pozostają bez zmian. </w:t>
      </w:r>
      <w:r>
        <w:rPr>
          <w:color w:val="FF0000"/>
        </w:rPr>
        <w:t>N</w:t>
      </w:r>
      <w:r>
        <w:rPr>
          <w:color w:val="FF0000"/>
        </w:rPr>
        <w:t xml:space="preserve">ie są przeznaczone do wymiany 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jc w:val="both"/>
        <w:rPr/>
      </w:pPr>
      <w:r>
        <w:rPr/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jc w:val="both"/>
        <w:rPr/>
      </w:pPr>
      <w:r>
        <w:rPr/>
      </w:r>
    </w:p>
    <w:p>
      <w:pPr>
        <w:pStyle w:val="Teksttreci"/>
        <w:shd w:val="clear" w:color="auto" w:fill="auto"/>
        <w:spacing w:lineRule="auto" w:line="276"/>
        <w:jc w:val="both"/>
        <w:rPr>
          <w:b/>
          <w:b/>
          <w:bCs/>
        </w:rPr>
      </w:pPr>
      <w:r>
        <w:rPr>
          <w:b/>
          <w:bCs/>
        </w:rPr>
        <w:t>Część II - Termomodernizacja Szkoły Podstawowej w Balicach na dz. nr ew. 650 w miejscowości Balice Gmina Gnojno</w:t>
      </w:r>
    </w:p>
    <w:p>
      <w:pPr>
        <w:pStyle w:val="Teksttreci"/>
        <w:shd w:val="clear" w:color="auto" w:fill="auto"/>
        <w:spacing w:lineRule="auto" w:line="276"/>
        <w:jc w:val="both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276"/>
        <w:jc w:val="both"/>
        <w:rPr/>
      </w:pPr>
      <w:r>
        <w:rPr/>
        <w:t>Prosimy o załączenie zestawienie grzejników przeznaczonych do wymiany.</w:t>
      </w:r>
    </w:p>
    <w:p>
      <w:pPr>
        <w:pStyle w:val="Teksttreci"/>
        <w:tabs>
          <w:tab w:val="clear" w:pos="708"/>
          <w:tab w:val="left" w:pos="374" w:leader="none"/>
        </w:tabs>
        <w:spacing w:lineRule="auto" w:line="276"/>
        <w:jc w:val="both"/>
        <w:rPr>
          <w:color w:val="FF0000"/>
        </w:rPr>
      </w:pPr>
      <w:r>
        <w:rPr>
          <w:color w:val="FF0000"/>
        </w:rPr>
        <w:t xml:space="preserve">       </w:t>
      </w:r>
      <w:r>
        <w:rPr>
          <w:color w:val="FF0000"/>
        </w:rPr>
        <w:t>Odpowiedź:</w:t>
      </w:r>
    </w:p>
    <w:p>
      <w:pPr>
        <w:pStyle w:val="Teksttreci"/>
        <w:tabs>
          <w:tab w:val="clear" w:pos="708"/>
          <w:tab w:val="left" w:pos="374" w:leader="none"/>
        </w:tabs>
        <w:spacing w:lineRule="auto" w:line="276"/>
        <w:jc w:val="both"/>
        <w:rPr>
          <w:color w:val="FF0000"/>
        </w:rPr>
      </w:pPr>
      <w:r>
        <w:rPr>
          <w:color w:val="FF0000"/>
        </w:rPr>
        <w:t xml:space="preserve">      </w:t>
      </w:r>
      <w:r>
        <w:rPr>
          <w:color w:val="FF0000"/>
        </w:rPr>
        <w:t>Niniejsze zamówienie odbywa się w systemie zaprojektuj i wybuduj wiec na etapie projektu i ustaleń  projektant</w:t>
      </w:r>
      <w:r>
        <w:rPr>
          <w:color w:val="FF0000"/>
        </w:rPr>
        <w:t>a</w:t>
      </w:r>
      <w:r>
        <w:rPr>
          <w:color w:val="FF0000"/>
        </w:rPr>
        <w:t xml:space="preserve"> </w:t>
        <w:tab/>
        <w:t xml:space="preserve">branży sanitarnej oszacuje potrzebną liczbę grzejników niezbędną  do prawidłowej realizacji zadania oraz zgodna z </w:t>
        <w:tab/>
        <w:t xml:space="preserve">mocą zapotrzebowania na ciepło po wykonaniu odpowiednich niezbędnych obliczeń przez projektanta branży </w:t>
        <w:tab/>
        <w:t xml:space="preserve">sanitarnej w budynku objętym zadaniem zgodnie ze sztuka budowlana oraz obowiązującymi  przepisami na dzień </w:t>
        <w:tab/>
        <w:t>wykonania projektu.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374" w:leader="none"/>
        </w:tabs>
        <w:spacing w:lineRule="auto" w:line="331"/>
        <w:jc w:val="both"/>
        <w:rPr/>
      </w:pPr>
      <w:r>
        <w:rPr/>
        <w:t>Prosimy o podanie mocy kotła na pellet przeznaczonego do montażu.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    </w:t>
      </w:r>
      <w:r>
        <w:rPr>
          <w:color w:val="FF0000"/>
        </w:rPr>
        <w:t>Odpowiedź: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    </w:t>
      </w:r>
      <w:r>
        <w:rPr>
          <w:color w:val="FF0000"/>
        </w:rPr>
        <w:t>Niniejsze zamówienie odbywa się w systemie zaprojektuj i wybuduj wiec na etapie projektu i ustaleń  projektant</w:t>
      </w:r>
      <w:r>
        <w:rPr>
          <w:color w:val="FF0000"/>
        </w:rPr>
        <w:t>a</w:t>
      </w:r>
      <w:r>
        <w:rPr>
          <w:color w:val="FF0000"/>
        </w:rPr>
        <w:t xml:space="preserve"> </w:t>
        <w:tab/>
        <w:t xml:space="preserve">branży sanitarnej oszacuje potrzebną moc kotła (do ogrzania całej szkoły wraz z sala gimnastyczna)  niezbędną  do </w:t>
        <w:tab/>
        <w:t xml:space="preserve">prawidłowej realizacji zadania oraz zgodna z mocą zapotrzebowania na ciepło po wykonaniu odpowiednich  </w:t>
        <w:tab/>
        <w:t xml:space="preserve">niezbędnych obliczeń przez projektanta branży sanitarnej w budynku objętym zadaniem oraz poszczególnych  </w:t>
        <w:tab/>
        <w:t>pomieszczeń zgodnie z ich przeznaczeniem , sztuka budowlana oraz obowiązującymi  przepisami na dzień</w:t>
        <w:tab/>
        <w:t>wykonania projektu.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  <w:t>Prosimy o podanie ilości i pojemności podgrzewaczy wody do montażu.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jc w:val="both"/>
        <w:rPr>
          <w:b/>
          <w:b/>
          <w:color w:val="FF0000"/>
        </w:rPr>
      </w:pPr>
      <w:r>
        <w:rPr>
          <w:b/>
        </w:rPr>
        <w:t xml:space="preserve">          </w:t>
      </w:r>
      <w:r>
        <w:rPr>
          <w:b/>
          <w:color w:val="FF0000"/>
        </w:rPr>
        <w:t>Odpowiedź: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    </w:t>
      </w:r>
      <w:r>
        <w:rPr>
          <w:color w:val="FF0000"/>
        </w:rPr>
        <w:t xml:space="preserve">Niniejsze zamówienie odbywa się w systemie zaprojektuj i wybuduj wiec na etapie projektu i ustaleń  projektant </w:t>
        <w:tab/>
        <w:t xml:space="preserve">branży sanitarnej oszacuje potrzebną ilość i pojemność podgrzewaczy wody do montażu  (wizja lokalna w </w:t>
        <w:tab/>
        <w:t xml:space="preserve">terenie </w:t>
      </w:r>
      <w:r>
        <w:rPr>
          <w:color w:val="FF0000"/>
        </w:rPr>
        <w:t>jest</w:t>
      </w:r>
      <w:r>
        <w:rPr>
          <w:color w:val="FF0000"/>
        </w:rPr>
        <w:t xml:space="preserve"> obowiązkiem i można dokonać pomiaru ilości istniejących podgrzewaczy z natury  na budynku )  </w:t>
        <w:tab/>
        <w:t xml:space="preserve">ilość </w:t>
        <w:tab/>
        <w:t xml:space="preserve">i pojemność podgrzewaczy powinna być niezbędna do prawidłowej realizacji zadania oraz zgodna z </w:t>
        <w:tab/>
        <w:t xml:space="preserve">założeniami </w:t>
        <w:tab/>
        <w:t>audytu oraz zapiskami PFU, sztuk</w:t>
      </w:r>
      <w:r>
        <w:rPr>
          <w:color w:val="FF0000"/>
        </w:rPr>
        <w:t>ą</w:t>
      </w:r>
      <w:r>
        <w:rPr>
          <w:color w:val="FF0000"/>
        </w:rPr>
        <w:t xml:space="preserve"> budowlan</w:t>
      </w:r>
      <w:r>
        <w:rPr>
          <w:color w:val="FF0000"/>
        </w:rPr>
        <w:t>ą</w:t>
      </w:r>
      <w:r>
        <w:rPr>
          <w:color w:val="FF0000"/>
        </w:rPr>
        <w:t xml:space="preserve"> oraz obowiązującymi  przepisami na dzień wykonania projektu.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  <w:t>Prosimy o załączenie zestawienie opraw oświetleniowych przeznaczonych do wymiany.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>
          <w:b/>
          <w:b/>
          <w:color w:val="FF0000"/>
        </w:rPr>
      </w:pPr>
      <w:r>
        <w:rPr>
          <w:b/>
          <w:color w:val="FF0000"/>
        </w:rPr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</w:t>
      </w:r>
      <w:r>
        <w:rPr>
          <w:color w:val="FF0000"/>
        </w:rPr>
        <w:t>N</w:t>
      </w:r>
      <w:r>
        <w:rPr>
          <w:color w:val="FF0000"/>
        </w:rPr>
        <w:t xml:space="preserve">a etapie postępowania nie jest możliwe podanie szczegółowego zestawienia ilościowego opraw  </w:t>
        <w:tab/>
        <w:t xml:space="preserve">oświetleniowych przeznaczonych do wymiany. Zgodnie z formułą „zaprojektuj i wybuduj”, dobór rodzaju </w:t>
        <w:tab/>
        <w:t xml:space="preserve">parametrów, rozmieszczenia oraz liczby opraw należy określić na etapie opracowania dokumentacji  projektowej, </w:t>
        <w:tab/>
        <w:t xml:space="preserve">na podstawie wykonanych obliczeń natężenia oświetlenia dla poszczególnych pomieszczeń, zgodnie z </w:t>
        <w:tab/>
        <w:t xml:space="preserve">obowiązującymi wymaganiami i normami. Wymianie podlegają wszystkie oprawy oświetleniowe w </w:t>
        <w:tab/>
        <w:t>pomieszczeniach objętych opracowaniem, zgodnie z opisem części elektrycznej PFU. Ostateczna liczba</w:t>
      </w:r>
      <w:r>
        <w:rPr>
          <w:color w:val="FF0000"/>
        </w:rPr>
        <w:t xml:space="preserve">i </w:t>
      </w:r>
      <w:r>
        <w:rPr>
          <w:color w:val="FF0000"/>
        </w:rPr>
        <w:t xml:space="preserve">typ </w:t>
        <w:tab/>
        <w:t>opraw zostaną określone w dokumentacji projektowej.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ind w:left="380" w:hanging="380"/>
        <w:jc w:val="both"/>
        <w:rPr/>
      </w:pPr>
      <w:r>
        <w:rPr/>
        <w:t>Prosimy o podanie mocy magazynu energii przeznaczonego do montażu.</w:t>
      </w:r>
    </w:p>
    <w:p>
      <w:pPr>
        <w:pStyle w:val="Teksttreci"/>
        <w:tabs>
          <w:tab w:val="clear" w:pos="708"/>
          <w:tab w:val="left" w:pos="483" w:leader="none"/>
        </w:tabs>
        <w:spacing w:lineRule="auto" w:line="331"/>
        <w:ind w:left="380" w:hanging="0"/>
        <w:jc w:val="both"/>
        <w:rPr>
          <w:color w:val="FF0000"/>
        </w:rPr>
      </w:pPr>
      <w:r>
        <w:rPr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ind w:left="380" w:hanging="0"/>
        <w:jc w:val="both"/>
        <w:rPr>
          <w:color w:val="FF0000"/>
        </w:rPr>
      </w:pPr>
      <w:r>
        <w:rPr>
          <w:color w:val="FF0000"/>
        </w:rPr>
        <w:t>Z uwagi na specyfikę użytkowania budynku szkoły oraz zakładany sposób wykorzystania energii z magazynu, przyjmuje się stosunek mocy magazynu energii do jego pojemności na poziomie 1:1. W związku z powyższym dla Szkoły Podstawowej w Balicach należy przyjąć magazyn energii o mocy ciągłej ładowania i rozładowania 15 kW oraz pojemności 15 kWh. Przyjęte parametry magazynu są kompatybilne z projektowaną instalacją fotowoltaiczną o mocy 17,1 kWp. Ostateczny dobór urządzeń, w tym ich parametrów technicznych oraz sposób współpracy magazynu z instalacją fotowoltaiczną, należy potwierdzić na etapie opracowania dokumentacji projektowej.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ind w:left="380" w:hanging="0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ind w:left="380" w:hanging="380"/>
        <w:jc w:val="both"/>
        <w:rPr/>
      </w:pPr>
      <w:r>
        <w:rPr/>
        <w:t>Prosimy o potwierdzenie że należy wykonać miejscowe naprawy po robotach montażowych: stolarki, instalacji sanitarnych i elektrycznych.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ind w:left="380" w:hanging="0"/>
        <w:jc w:val="both"/>
        <w:rPr/>
      </w:pP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 </w:t>
      </w:r>
      <w:r>
        <w:rPr>
          <w:color w:val="FF0000"/>
        </w:rPr>
        <w:t xml:space="preserve">TAK  należy wykonać naprawy powstałe w wyniku prowadzonych prac budowlanych. sufity należy od </w:t>
        <w:tab/>
        <w:t xml:space="preserve">szpachlować pomalować cały po wykonanych pracach elektrycznych , ściany,  ościeżnice okienne drzwiowe  </w:t>
        <w:tab/>
        <w:t xml:space="preserve">gdzie będą grzejniki ewentualnie wymieniane drzwi i okna również należy od szpachlować i pomalować całe     </w:t>
        <w:tab/>
        <w:t xml:space="preserve">pomieszczenie w którym jest prowadzony remont na kolor po uzgodnieniu z zamawiającym oraz </w:t>
        <w:tab/>
        <w:t>użytkownikiem 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12"/>
        <w:ind w:left="380" w:hanging="380"/>
        <w:jc w:val="both"/>
        <w:rPr/>
      </w:pPr>
      <w:r>
        <w:rPr/>
        <w:t>Prosimy o podanie min, parametrów piktogramów z alfabetem Braila (oznaczenie łazienki) objętych przedmiotem zamówienia.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12"/>
        <w:ind w:left="380" w:hanging="0"/>
        <w:jc w:val="both"/>
        <w:rPr/>
      </w:pP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12"/>
        <w:ind w:left="380" w:hanging="0"/>
        <w:jc w:val="both"/>
        <w:rPr>
          <w:color w:val="FF0000"/>
        </w:rPr>
      </w:pPr>
      <w:r>
        <w:rPr>
          <w:color w:val="FF0000"/>
        </w:rPr>
        <w:t xml:space="preserve">Minimalne parametry piktogramów z alfabetem Braila należy wykonać zgodnie z wytycznymi Polskiego Związku Niewidomych , na etapie projektowania należy  ustalić z zamawiającym oraz użytkownikiem dokładną ilość tekstu i dopasować go do wielkości obowiązujących tabliczek zgodnych z  przepisami , zaleca się stosowanie standardowych rozwiązań wymiarów tabliczek wybranego producenta.    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12"/>
        <w:ind w:left="380" w:hanging="0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  <w:t>Prosimy o potwierdzenie że parapety wewnętrzne nie są przeznaczone do wymiany.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>
          <w:b/>
          <w:color w:val="FF0000"/>
        </w:rPr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       </w:t>
      </w:r>
      <w:r>
        <w:rPr>
          <w:color w:val="FF0000"/>
        </w:rPr>
        <w:t>P</w:t>
      </w:r>
      <w:r>
        <w:rPr>
          <w:color w:val="FF0000"/>
        </w:rPr>
        <w:t xml:space="preserve">arapety wewnętrzne pozostają bez zmian. </w:t>
      </w:r>
      <w:r>
        <w:rPr>
          <w:color w:val="FF0000"/>
        </w:rPr>
        <w:t>N</w:t>
      </w:r>
      <w:r>
        <w:rPr>
          <w:color w:val="FF0000"/>
        </w:rPr>
        <w:t>ie są przeznaczone do wymiany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</w:r>
    </w:p>
    <w:p>
      <w:pPr>
        <w:pStyle w:val="Teksttreci"/>
        <w:shd w:val="clear" w:color="auto" w:fill="auto"/>
        <w:spacing w:lineRule="auto" w:line="276"/>
        <w:jc w:val="both"/>
        <w:rPr>
          <w:b/>
          <w:b/>
          <w:bCs/>
        </w:rPr>
      </w:pPr>
      <w:r>
        <w:rPr>
          <w:b/>
          <w:bCs/>
        </w:rPr>
        <w:t>Część III - Termomodernizacja Szkoły Podstawowej im. Marii Konopnickiej w Gnojnie na dz. nr ew. 667/2, 667/6, 667/8 w miejscowości Gnojno Gmina Gnojno</w:t>
      </w:r>
    </w:p>
    <w:p>
      <w:pPr>
        <w:pStyle w:val="Teksttreci"/>
        <w:shd w:val="clear" w:color="auto" w:fill="auto"/>
        <w:spacing w:lineRule="auto" w:line="276"/>
        <w:jc w:val="both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276"/>
        <w:jc w:val="both"/>
        <w:rPr/>
      </w:pPr>
      <w:r>
        <w:rPr/>
        <w:t>Prosimy o załączenie zestawienia świetlików dachowych przeznaczonych do wymiany.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276"/>
        <w:jc w:val="both"/>
        <w:rPr/>
      </w:pPr>
      <w:r>
        <w:rPr>
          <w:b/>
          <w:color w:val="FF0000"/>
        </w:rPr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tabs>
          <w:tab w:val="clear" w:pos="708"/>
          <w:tab w:val="left" w:pos="483" w:leader="none"/>
        </w:tabs>
        <w:spacing w:lineRule="auto" w:line="276"/>
        <w:jc w:val="both"/>
        <w:rPr>
          <w:color w:val="FF0000"/>
        </w:rPr>
      </w:pPr>
      <w:r>
        <w:rPr>
          <w:color w:val="FF0000"/>
        </w:rPr>
        <w:t xml:space="preserve">         </w:t>
      </w:r>
      <w:r>
        <w:rPr>
          <w:color w:val="FF0000"/>
        </w:rPr>
        <w:t xml:space="preserve">Niniejsze zamówienie odbywa się w systemie zaprojektuj i wybuduj wiec na etapie projektu i ustaleń  projektant </w:t>
        <w:tab/>
        <w:t xml:space="preserve">określi dokładny wymiar świetlika po wykonaniu inwentaryzacji  technicznej , liczba świetlików dachowych do </w:t>
        <w:tab/>
        <w:t xml:space="preserve">wymiany jest 4 sztuki zgodnie  z  założeniami PFU, świetliki objęte zadaniem podlegające wyminie na nowe </w:t>
        <w:tab/>
        <w:t xml:space="preserve">zlokalizowane są na dachu nad dużą sala gimnastyczną i jest ich 4 sztuki znajdują się centralnie nad  polem do </w:t>
        <w:tab/>
        <w:t xml:space="preserve">gry na sali gimnastycznej przed wymiana świetlików należy wykonać pomiaru z natury i przestawić sposób </w:t>
        <w:tab/>
        <w:t xml:space="preserve">wymiany oraz rozdaj zastosowanych materiałów do nowo projektowanych świetlików spełniających przepisy pod </w:t>
        <w:tab/>
        <w:t xml:space="preserve">względem izolacyjności cieplnej oraz  zgodnie ze szuka budowlaną i obowiązującymi przepisami na dzień  </w:t>
        <w:tab/>
        <w:t>wykonania projektu do akceptacji zamawiającemu oraz użytkownikowi.</w:t>
      </w:r>
    </w:p>
    <w:p>
      <w:pPr>
        <w:pStyle w:val="Teksttreci"/>
        <w:tabs>
          <w:tab w:val="clear" w:pos="708"/>
          <w:tab w:val="left" w:pos="483" w:leader="none"/>
        </w:tabs>
        <w:spacing w:lineRule="auto" w:line="276"/>
        <w:jc w:val="both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  <w:t>Prosimy o załączenie zestawienie grzejników przeznaczonych do wymiany.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>
          <w:b/>
          <w:b/>
          <w:color w:val="FF0000"/>
        </w:rPr>
      </w:pPr>
      <w:r>
        <w:rPr>
          <w:b/>
          <w:color w:val="FF0000"/>
        </w:rPr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rPr>
          <w:color w:val="FF0000"/>
        </w:rPr>
      </w:pPr>
      <w:r>
        <w:rPr>
          <w:color w:val="FF0000"/>
        </w:rPr>
        <w:t xml:space="preserve">        </w:t>
      </w:r>
      <w:r>
        <w:rPr>
          <w:color w:val="FF0000"/>
        </w:rPr>
        <w:t xml:space="preserve">Niniejsze zamówienie odbywa się w systemie zaprojektuj i wybuduj wiec na etapie projektu i ustaleń  projektant </w:t>
        <w:tab/>
        <w:t xml:space="preserve">branży sanitarnej oszacuje potrzebną liczbę grzejników niezbędną  do prawidłowej realizacji zadania oraz zgodna z </w:t>
        <w:tab/>
        <w:t xml:space="preserve">mocą zapotrzebowania na ciepło po wykonaniu odpowiednich niezbędnych obliczeń przez projektanta branży </w:t>
        <w:tab/>
        <w:t xml:space="preserve">sanitarnej w budynku objętym zadaniem zgodnie ze sztuka budowlana oraz obowiązującymi   przepisami na dzień </w:t>
        <w:tab/>
        <w:t xml:space="preserve">wykonania projektu. 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  <w:t>Prosimy o podanie mocy kotła na pellet przeznaczonego do montażu.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rPr/>
      </w:pPr>
      <w:r>
        <w:rPr>
          <w:b/>
          <w:color w:val="FF0000"/>
        </w:rPr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374" w:leader="none"/>
        </w:tabs>
        <w:spacing w:lineRule="auto" w:line="276"/>
        <w:rPr>
          <w:color w:val="FF0000"/>
        </w:rPr>
      </w:pPr>
      <w:r>
        <w:rPr>
          <w:color w:val="FF0000"/>
        </w:rPr>
        <w:t xml:space="preserve">        </w:t>
      </w:r>
      <w:r>
        <w:rPr>
          <w:color w:val="FF0000"/>
        </w:rPr>
        <w:t xml:space="preserve">Niniejsze zamówienie odbywa się w systemie zaprojektuj i wybuduj wiec na etapie projektu i ustaleń  projektant </w:t>
        <w:tab/>
        <w:t xml:space="preserve">branży  sanitarnej oszacuje potrzebną moc kotła (do ogrzania całej szkoły wraz z sala gimnastyczna)  niezbędną  </w:t>
        <w:tab/>
        <w:t>d</w:t>
      </w:r>
      <w:r>
        <w:rPr>
          <w:color w:val="FF0000"/>
        </w:rPr>
        <w:t>o</w:t>
      </w:r>
      <w:r>
        <w:rPr>
          <w:color w:val="FF0000"/>
        </w:rPr>
        <w:t xml:space="preserve">  prawidłowej realizacji zadania oraz zgodna z mocą zapotrzebowania na ciepło po wykonaniu odpowiednich </w:t>
        <w:tab/>
        <w:t xml:space="preserve">niezbędnych obliczeń przez projektanta branży sanitarnej w budynku objętym zadaniem oraz poszczególnych </w:t>
        <w:tab/>
        <w:t xml:space="preserve">pomieszczeń zgodnie z ich przeznaczeniem , sztuka budowlana oraz obowiązującymi  przepisami na dzień    </w:t>
        <w:tab/>
        <w:t xml:space="preserve">wykonania projektu. 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  <w:t>Prosimy o podanie ilości i pojemności podgrzewaczy wody do montażu.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jc w:val="both"/>
        <w:rPr>
          <w:b/>
          <w:b/>
          <w:color w:val="FF0000"/>
        </w:rPr>
      </w:pPr>
      <w:r>
        <w:rPr>
          <w:b/>
          <w:color w:val="FF0000"/>
        </w:rPr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tabs>
          <w:tab w:val="clear" w:pos="708"/>
          <w:tab w:val="left" w:pos="374" w:leader="none"/>
        </w:tabs>
        <w:spacing w:lineRule="auto" w:line="331"/>
        <w:jc w:val="both"/>
        <w:rPr>
          <w:color w:val="FF0000"/>
        </w:rPr>
      </w:pPr>
      <w:r>
        <w:rPr>
          <w:color w:val="FF0000"/>
        </w:rPr>
        <w:t xml:space="preserve">        </w:t>
      </w:r>
      <w:r>
        <w:rPr>
          <w:color w:val="FF0000"/>
        </w:rPr>
        <w:t xml:space="preserve">Niniejsze zamówienie odbywa się w systemie zaprojektuj i wybuduj wiec na etapie projektu i ustaleń  projektant </w:t>
        <w:tab/>
        <w:t xml:space="preserve">branży sanitarnej oszacuje potrzebną ilość i pojemność podgrzewaczy wody do montażu  ( wizja </w:t>
        <w:tab/>
        <w:t xml:space="preserve">lokalna w </w:t>
        <w:tab/>
        <w:t xml:space="preserve">terenie  jest  obowiązkiem i można dokonać pomiaru ilości istniejących podgrzewaczy z natury na budynku  )  ilość </w:t>
        <w:tab/>
        <w:t xml:space="preserve">i pojemność podgrzewaczy powinna być niezbędna do prawidłowej realizacji zadania oraz </w:t>
        <w:tab/>
        <w:t xml:space="preserve">zgodna z założeniami </w:t>
        <w:tab/>
        <w:t>audytu oraz zapiskami PFU sztuka budowlana oraz obowiązującymi  przepisami na dzie</w:t>
      </w:r>
      <w:r>
        <w:rPr>
          <w:color w:val="FF0000"/>
        </w:rPr>
        <w:t>ń</w:t>
      </w:r>
      <w:r>
        <w:rPr>
          <w:color w:val="FF0000"/>
        </w:rPr>
        <w:t xml:space="preserve">  wykonania projektu.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331"/>
        <w:jc w:val="both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spacing w:lineRule="auto" w:line="331" w:before="0" w:after="140"/>
        <w:jc w:val="both"/>
        <w:rPr/>
      </w:pPr>
      <w:r>
        <w:rPr/>
        <w:t>Prosimy o załączenie zestawienie opraw oświetleniowych przeznaczonych do wymiany.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240"/>
        <w:jc w:val="both"/>
        <w:rPr>
          <w:b/>
          <w:b/>
          <w:color w:val="FF0000"/>
        </w:rPr>
      </w:pPr>
      <w:r>
        <w:rPr>
          <w:b/>
          <w:color w:val="FF0000"/>
        </w:rPr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240"/>
        <w:jc w:val="both"/>
        <w:rPr>
          <w:color w:val="FF0000"/>
        </w:rPr>
      </w:pPr>
      <w:r>
        <w:rPr>
          <w:b/>
          <w:color w:val="FF0000"/>
        </w:rPr>
        <w:t xml:space="preserve">        </w:t>
      </w:r>
      <w:r>
        <w:rPr>
          <w:color w:val="FF0000"/>
        </w:rPr>
        <w:t xml:space="preserve">Na etapie postępowania nie jest możliwe podanie szczegółowego zestawienia ilościowego opraw oświetleniowych </w:t>
        <w:tab/>
        <w:t xml:space="preserve">przeznaczonych do wymiany. Zgodnie z formułą „zaprojektuj i wybuduj”, dobór rodzaju,  parametrów, </w:t>
        <w:tab/>
        <w:t xml:space="preserve">rozmieszczenia oraz liczby opraw należy określić na etapie opracowania dokumentacji  projektowej, na podstawie </w:t>
        <w:tab/>
        <w:t xml:space="preserve">wykonanych obliczeń natężenia oświetlenia dla poszczególnych pomieszczeń, zgodnie z obowiązującymi </w:t>
        <w:tab/>
        <w:t xml:space="preserve">wymaganiami i normami. Wymianie podlegają wszystkie oprawy oświetleniowe w pomieszczeniach objętych </w:t>
        <w:tab/>
        <w:t xml:space="preserve">opracowaniem, zgodnie z opisem części elektrycznej PFU. Ostateczna liczba i typ opraw zostaną określone w </w:t>
        <w:tab/>
        <w:t>dokumentacji projektowej.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spacing w:lineRule="auto" w:line="240"/>
        <w:jc w:val="both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ind w:left="380" w:hanging="380"/>
        <w:rPr/>
      </w:pPr>
      <w:r>
        <w:rPr>
          <w:lang w:eastAsia="en-US" w:bidi="en-US"/>
        </w:rPr>
        <w:t xml:space="preserve">W PFU zaleca </w:t>
      </w:r>
      <w:r>
        <w:rPr/>
        <w:t xml:space="preserve">się montaż </w:t>
      </w:r>
      <w:r>
        <w:rPr>
          <w:lang w:eastAsia="en-US" w:bidi="en-US"/>
        </w:rPr>
        <w:t xml:space="preserve">magazyn energii 40 kW natomiast w audycie 10 kW. Prosimy o </w:t>
      </w:r>
      <w:r>
        <w:rPr/>
        <w:t xml:space="preserve">wyjaśnienie rozbieżności </w:t>
      </w:r>
      <w:r>
        <w:rPr>
          <w:lang w:eastAsia="en-US" w:bidi="en-US"/>
        </w:rPr>
        <w:t xml:space="preserve">i podanie mocy magazynu energii przeznaczonego do </w:t>
      </w:r>
      <w:r>
        <w:rPr/>
        <w:t>montażu.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>
          <w:b/>
          <w:b/>
          <w:color w:val="FF0000"/>
        </w:rPr>
      </w:pPr>
      <w:r>
        <w:rPr>
          <w:b/>
          <w:color w:val="FF0000"/>
        </w:rPr>
        <w:t>Odpowiedź: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  <w:br/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Wartości 10 kWh i 40 kWh wskazane w audycie i PFU odnoszą się do pojemności magazynu energii, a nie jego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mocy. Zgodnie z zapisami PFU, dla obiektu w Gnojnie należy przyjąć magazyn energii o pojemności 40 kWh.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PFU wskazuje, że przy planowanej mocy instalacji PV wynoszącej 40 kW zalecana jest pojemność magazynu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około 40 kWh, co ma umożliwić magazynowanie nadwyżek energii i zwiększenie jej wykorzystania na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potrzeby własne obiektu.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W związku z powyższym nie występuje rozbieżność pomiędzy audytem a PFU – wartość 10 kWh stanowi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minimalną pojemność wskazaną w audycie, natomiast PFU zaleca dla planowanej instalacji PV zastosowanie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magazynu o pojemności około 40 kWh. Do wyceny należy przyjąć magazyn o pojemności 40 kWh.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Moc magazynu [kW] nie została określona w PFU jako stała wartość i powinna zostać dobrana na etapie 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projektowym, odpowiednio do mocy instalacji PV, zastosowanego falownika, bilansu zapotrzebowania oraz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parametrów technicznych magazyn.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 xml:space="preserve">      </w:t>
      </w: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Do wyceny należy przyjąć następujące pojemności magazynów energii:</w:t>
      </w:r>
    </w:p>
    <w:p>
      <w:pPr>
        <w:pStyle w:val="Normal"/>
        <w:widowControl/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</w:r>
    </w:p>
    <w:p>
      <w:pPr>
        <w:pStyle w:val="Normal"/>
        <w:widowControl/>
        <w:numPr>
          <w:ilvl w:val="0"/>
          <w:numId w:val="2"/>
        </w:numPr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Jarząbki – pojemność magazynu 15 kWh,</w:t>
      </w:r>
    </w:p>
    <w:p>
      <w:pPr>
        <w:pStyle w:val="Normal"/>
        <w:widowControl/>
        <w:numPr>
          <w:ilvl w:val="0"/>
          <w:numId w:val="2"/>
        </w:numPr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Balice – pojemność magazynu 15 kWh,</w:t>
      </w:r>
    </w:p>
    <w:p>
      <w:pPr>
        <w:pStyle w:val="Normal"/>
        <w:widowControl/>
        <w:numPr>
          <w:ilvl w:val="0"/>
          <w:numId w:val="2"/>
        </w:numPr>
        <w:rPr>
          <w:rFonts w:ascii="Times New Roman" w:hAnsi="Times New Roman" w:eastAsia="Times New Roman" w:cs="Times New Roman"/>
          <w:color w:val="FF0000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FF0000"/>
          <w:sz w:val="20"/>
          <w:szCs w:val="20"/>
          <w:lang w:bidi="ar-SA"/>
        </w:rPr>
        <w:t>Gnojno – pojemność magazynu 40 kWh.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/>
      </w:pPr>
      <w:r>
        <w:rPr/>
      </w:r>
    </w:p>
    <w:p>
      <w:pPr>
        <w:pStyle w:val="Teksttreci"/>
        <w:numPr>
          <w:ilvl w:val="0"/>
          <w:numId w:val="1"/>
        </w:numPr>
        <w:shd w:val="clear" w:color="auto" w:fill="auto"/>
        <w:tabs>
          <w:tab w:val="clear" w:pos="708"/>
          <w:tab w:val="left" w:pos="483" w:leader="none"/>
        </w:tabs>
        <w:ind w:left="380" w:hanging="380"/>
        <w:rPr/>
      </w:pPr>
      <w:r>
        <w:rPr>
          <w:lang w:eastAsia="en-US" w:bidi="en-US"/>
        </w:rPr>
        <w:t xml:space="preserve">Prosimy o potwierdzenie </w:t>
      </w:r>
      <w:r>
        <w:rPr/>
        <w:t xml:space="preserve">że należy wykonać </w:t>
      </w:r>
      <w:r>
        <w:rPr>
          <w:lang w:eastAsia="en-US" w:bidi="en-US"/>
        </w:rPr>
        <w:t xml:space="preserve">miejscowe naprawy po robotach </w:t>
      </w:r>
      <w:r>
        <w:rPr/>
        <w:t xml:space="preserve">montażowych: </w:t>
      </w:r>
      <w:r>
        <w:rPr>
          <w:lang w:eastAsia="en-US" w:bidi="en-US"/>
        </w:rPr>
        <w:t>stolarki, instalacji sanitarnych i elektrycznych.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/>
      </w:pP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>
          <w:color w:val="FF0000"/>
        </w:rPr>
      </w:pPr>
      <w:r>
        <w:rPr>
          <w:color w:val="FF0000"/>
        </w:rPr>
        <w:t>TAK  należy wykonać naprawy powstałe w wyniku prowadzonych prac budowlanych. sufity należy od szpachlować pomalować całe po wykonanych pracach elektrycznych , ściany,  ościeżnice okienne drzwiowe gdzie będą grzejniki ewentualnie wymieniane drzwi i okna również należy od szpachlować i pomalować całe pomieszczenie w którym jest prowadzony remont na kolor po uzgodnieniu z zamawiającym oraz użytkownikiem 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3"/>
        </w:numPr>
        <w:shd w:val="clear" w:color="auto" w:fill="auto"/>
        <w:spacing w:lineRule="auto" w:line="312"/>
        <w:ind w:left="380" w:hanging="380"/>
        <w:rPr/>
      </w:pPr>
      <w:r>
        <w:rPr>
          <w:lang w:eastAsia="en-US" w:bidi="en-US"/>
        </w:rPr>
        <w:t xml:space="preserve">Prosimy o podanie min, </w:t>
      </w:r>
      <w:r>
        <w:rPr/>
        <w:t xml:space="preserve">parametrów piktogramów </w:t>
      </w:r>
      <w:r>
        <w:rPr>
          <w:lang w:eastAsia="en-US" w:bidi="en-US"/>
        </w:rPr>
        <w:t xml:space="preserve">z alfabetem Braila (oznaczenie </w:t>
      </w:r>
      <w:r>
        <w:rPr/>
        <w:t xml:space="preserve">łazienki) objętych </w:t>
      </w:r>
      <w:r>
        <w:rPr>
          <w:lang w:eastAsia="en-US" w:bidi="en-US"/>
        </w:rPr>
        <w:t xml:space="preserve">przedmiotem </w:t>
      </w:r>
      <w:r>
        <w:rPr/>
        <w:t>zamówienia.</w:t>
      </w:r>
    </w:p>
    <w:p>
      <w:pPr>
        <w:pStyle w:val="Teksttreci"/>
        <w:shd w:val="clear" w:color="auto" w:fill="auto"/>
        <w:spacing w:lineRule="auto" w:line="312"/>
        <w:ind w:left="380" w:hanging="0"/>
        <w:rPr/>
      </w:pP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spacing w:lineRule="auto" w:line="312"/>
        <w:ind w:left="380" w:hanging="0"/>
        <w:rPr>
          <w:color w:val="FF0000"/>
        </w:rPr>
      </w:pPr>
      <w:r>
        <w:rPr>
          <w:color w:val="FF0000"/>
        </w:rPr>
        <w:t xml:space="preserve">Minimalne parametry piktogramów z alfabetem Braila należy wykonać zgodnie z wytycznymi Polskiego Związku Niewidomych , na etapie projektowania należy  ustalić z zamawiającym oraz użytkownikiem dokładną ilość tekstu i dopasować go do wielkości obowiązujących tabliczek zgodnych z  przepisami , zaleca się stosowanie standardowych rozwiązań wymiarów tabliczek wybranego producenta.    </w:t>
      </w:r>
    </w:p>
    <w:p>
      <w:pPr>
        <w:pStyle w:val="Teksttreci"/>
        <w:shd w:val="clear" w:color="auto" w:fill="auto"/>
        <w:spacing w:lineRule="auto" w:line="312"/>
        <w:ind w:left="380" w:hanging="0"/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3"/>
        </w:numPr>
        <w:shd w:val="clear" w:color="auto" w:fill="auto"/>
        <w:tabs>
          <w:tab w:val="clear" w:pos="708"/>
          <w:tab w:val="left" w:pos="483" w:leader="none"/>
        </w:tabs>
        <w:rPr/>
      </w:pPr>
      <w:r>
        <w:rPr>
          <w:lang w:eastAsia="en-US" w:bidi="en-US"/>
        </w:rPr>
        <w:t xml:space="preserve">Prosimy o podanie min. </w:t>
      </w:r>
      <w:r>
        <w:rPr/>
        <w:t xml:space="preserve">parametrów </w:t>
      </w:r>
      <w:r>
        <w:rPr>
          <w:lang w:eastAsia="en-US" w:bidi="en-US"/>
        </w:rPr>
        <w:t xml:space="preserve">tablicy tyflograficznej </w:t>
      </w:r>
      <w:r>
        <w:rPr/>
        <w:t xml:space="preserve">objętej </w:t>
      </w:r>
      <w:r>
        <w:rPr>
          <w:lang w:eastAsia="en-US" w:bidi="en-US"/>
        </w:rPr>
        <w:t xml:space="preserve">przedmiotem </w:t>
      </w:r>
      <w:r>
        <w:rPr/>
        <w:t>zamówienia.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rPr/>
      </w:pPr>
      <w:r>
        <w:rPr/>
        <w:t xml:space="preserve">  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jc w:val="both"/>
        <w:rPr>
          <w:color w:val="FF0000"/>
        </w:rPr>
      </w:pPr>
      <w:r>
        <w:rPr>
          <w:color w:val="FF0000"/>
        </w:rPr>
        <w:t xml:space="preserve">          </w:t>
      </w:r>
      <w:r>
        <w:rPr>
          <w:color w:val="FF0000"/>
        </w:rPr>
        <w:t xml:space="preserve">Parametry tablicy tyflograficznej należy przyjąć standardowe dostępnie osiągalnego wykonawcy obejmują </w:t>
        <w:tab/>
        <w:t>podstawowe wymiary (najczęściej od 40x30 cm do 70x50 cm), montaż na wysokości około 90–110 cm pod</w:t>
        <w:tab/>
        <w:t>kątem 15–45 stopni oraz trwałe materiały, takie jak kompozyty aluminiowe lub akryl PMMA. Tablica mus</w:t>
      </w:r>
      <w:r>
        <w:rPr>
          <w:color w:val="FF0000"/>
        </w:rPr>
        <w:t xml:space="preserve">i </w:t>
        <w:tab/>
      </w:r>
      <w:r>
        <w:rPr>
          <w:color w:val="FF0000"/>
        </w:rPr>
        <w:t xml:space="preserve">zawierać wypukłą grafikę, kontrastowy druk dla słabowidzących oraz napisy w alfabecie Braille'a. 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jc w:val="both"/>
        <w:rPr/>
      </w:pPr>
      <w:r>
        <w:rPr>
          <w:color w:val="FF0000"/>
        </w:rPr>
        <w:t xml:space="preserve">         </w:t>
      </w:r>
      <w:bookmarkStart w:id="3" w:name="_GoBack"/>
      <w:bookmarkEnd w:id="3"/>
      <w:r>
        <w:rPr>
          <w:color w:val="FF0000"/>
        </w:rPr>
        <w:t xml:space="preserve">Na etapie projektowania należy ustalić dokładną wielkość tablicy ze względu na wielkość kompleksu budynku </w:t>
        <w:tab/>
        <w:t xml:space="preserve">szkolnego objętego opracowaniem ,należy ustalić dokładną lokalizacje montażu z zamawiającym oraz </w:t>
        <w:tab/>
        <w:t xml:space="preserve">użytkownikiem budynku  sposób montażu oraz rodzaj materiału z którego będzie wykonana,  parametry   tablicy </w:t>
        <w:tab/>
        <w:t>musz</w:t>
      </w:r>
      <w:r>
        <w:rPr>
          <w:color w:val="FF0000"/>
        </w:rPr>
        <w:t>ą</w:t>
      </w:r>
      <w:r>
        <w:rPr>
          <w:color w:val="FF0000"/>
        </w:rPr>
        <w:t xml:space="preserve">  spełniać wymagania przepisów obowiązujących na dzień opracowania projektu  tablice należy  </w:t>
        <w:tab/>
        <w:t xml:space="preserve">zastosować ze wszystkimi niezbędnymi elementami jednego producenta  zaleca się rozwiązanie systemowe  </w:t>
        <w:tab/>
        <w:t xml:space="preserve">przed zamontowaniem tablicy należy uzyskać akceptacje zamawiającego oraz użytkownika 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rPr>
          <w:color w:val="FF0000"/>
        </w:rPr>
      </w:pPr>
      <w:r>
        <w:rPr>
          <w:color w:val="FF0000"/>
        </w:rPr>
      </w:r>
    </w:p>
    <w:p>
      <w:pPr>
        <w:pStyle w:val="Teksttreci"/>
        <w:numPr>
          <w:ilvl w:val="0"/>
          <w:numId w:val="3"/>
        </w:numPr>
        <w:shd w:val="clear" w:color="auto" w:fill="auto"/>
        <w:tabs>
          <w:tab w:val="clear" w:pos="708"/>
          <w:tab w:val="left" w:pos="483" w:leader="none"/>
        </w:tabs>
        <w:ind w:left="380" w:hanging="380"/>
        <w:rPr/>
      </w:pPr>
      <w:r>
        <w:rPr>
          <w:lang w:eastAsia="en-US" w:bidi="en-US"/>
        </w:rPr>
        <w:t xml:space="preserve">Prosimy o podanie min. </w:t>
      </w:r>
      <w:r>
        <w:rPr/>
        <w:t xml:space="preserve">parametrów </w:t>
      </w:r>
      <w:r>
        <w:rPr>
          <w:lang w:eastAsia="en-US" w:bidi="en-US"/>
        </w:rPr>
        <w:t xml:space="preserve">oznakowania poziomego </w:t>
      </w:r>
      <w:r>
        <w:rPr/>
        <w:t xml:space="preserve">ciągów </w:t>
      </w:r>
      <w:r>
        <w:rPr>
          <w:lang w:eastAsia="en-US" w:bidi="en-US"/>
        </w:rPr>
        <w:t xml:space="preserve">komunikacyjnych </w:t>
      </w:r>
      <w:r>
        <w:rPr/>
        <w:t xml:space="preserve">objętych </w:t>
      </w:r>
      <w:r>
        <w:rPr>
          <w:lang w:eastAsia="en-US" w:bidi="en-US"/>
        </w:rPr>
        <w:t xml:space="preserve">przedmiotem </w:t>
      </w:r>
      <w:r>
        <w:rPr/>
        <w:t>zamówienia.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/>
      </w:pP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>
          <w:color w:val="FF0000"/>
        </w:rPr>
      </w:pPr>
      <w:r>
        <w:rPr>
          <w:color w:val="FF0000"/>
        </w:rPr>
        <w:t xml:space="preserve">Oznakowanie poziome ciągów komunikacyjnych w szkole służy </w:t>
      </w:r>
      <w:r>
        <w:rPr>
          <w:rStyle w:val="Strong"/>
          <w:color w:val="FF0000"/>
        </w:rPr>
        <w:t>zapewnieniu bezpieczeństwa uczniów</w:t>
      </w:r>
      <w:r>
        <w:rPr>
          <w:color w:val="FF0000"/>
        </w:rPr>
        <w:t>, uporządkowaniu ruchu na korytarzach oraz ułatwieniu ewakuacji w sytuacjach kryzysowych. Stosuje się je najczęściej wewnątrz budynków (korytarze, schody) oraz na zewnątrz 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>
          <w:color w:val="FF0000"/>
        </w:rPr>
      </w:pPr>
      <w:r>
        <w:rPr>
          <w:color w:val="FF0000"/>
        </w:rPr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>
          <w:color w:val="FF0000"/>
        </w:rPr>
      </w:pPr>
      <w:r>
        <w:rPr>
          <w:color w:val="FF0000"/>
        </w:rPr>
        <w:t>Podstawowym zadaniem jest wyznaczenie pasa ruchu oraz kierunku ruchu aby wskazać miejsce docelowe , linie ostrzegawcze o jaskrawych barwach np. żółta lub jakaś kontrastowa lokalizowana na pierwszy i ostatnim schodzie ewentualnie gdzieś w środku, symbole ewakuacyjne strzałki kierunkowe wskazujące drogę do wyjść  malowana farbami fotoluminescencyjnymi świecącymi w nocy , taśmy farby musza zapobiegać poślizgowi , musza posiadać wysoka odporność na ścieralność , łatwość czyszczenia musi być odporna na szkolne środki czystości do podłóg musi być wykonana z ekologicznych materiałów np. bezwonne nietoksyczne farby bezpieczne dla dzieci potwierdzone odpowiednimi atestami do zastosowania w szkole 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ind w:left="380" w:hanging="0"/>
        <w:rPr/>
      </w:pPr>
      <w:r>
        <w:rPr/>
      </w:r>
    </w:p>
    <w:p>
      <w:pPr>
        <w:pStyle w:val="Teksttreci"/>
        <w:numPr>
          <w:ilvl w:val="0"/>
          <w:numId w:val="3"/>
        </w:numPr>
        <w:shd w:val="clear" w:color="auto" w:fill="auto"/>
        <w:tabs>
          <w:tab w:val="clear" w:pos="708"/>
          <w:tab w:val="left" w:pos="483" w:leader="none"/>
        </w:tabs>
        <w:rPr/>
      </w:pPr>
      <w:r>
        <w:rPr>
          <w:lang w:eastAsia="en-US" w:bidi="en-US"/>
        </w:rPr>
        <w:t xml:space="preserve">Prosimy o potwierdzenie </w:t>
      </w:r>
      <w:r>
        <w:rPr/>
        <w:t xml:space="preserve">że </w:t>
      </w:r>
      <w:r>
        <w:rPr>
          <w:lang w:eastAsia="en-US" w:bidi="en-US"/>
        </w:rPr>
        <w:t xml:space="preserve">parapety </w:t>
      </w:r>
      <w:r>
        <w:rPr/>
        <w:t xml:space="preserve">wewnętrzne </w:t>
      </w:r>
      <w:r>
        <w:rPr>
          <w:lang w:eastAsia="en-US" w:bidi="en-US"/>
        </w:rPr>
        <w:t xml:space="preserve">nie </w:t>
      </w:r>
      <w:r>
        <w:rPr/>
        <w:t xml:space="preserve">są </w:t>
      </w:r>
      <w:r>
        <w:rPr>
          <w:lang w:eastAsia="en-US" w:bidi="en-US"/>
        </w:rPr>
        <w:t>przeznaczone do wymiany.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rPr/>
      </w:pPr>
      <w:r>
        <w:rPr>
          <w:lang w:eastAsia="en-US" w:bidi="en-US"/>
        </w:rPr>
        <w:t xml:space="preserve">       </w:t>
      </w:r>
      <w:r>
        <w:rPr>
          <w:b/>
          <w:color w:val="FF0000"/>
        </w:rPr>
        <w:t>Odpowiedź:</w:t>
      </w:r>
    </w:p>
    <w:p>
      <w:pPr>
        <w:pStyle w:val="Teksttreci"/>
        <w:shd w:val="clear" w:color="auto" w:fill="auto"/>
        <w:tabs>
          <w:tab w:val="clear" w:pos="708"/>
          <w:tab w:val="left" w:pos="483" w:leader="none"/>
        </w:tabs>
        <w:jc w:val="both"/>
        <w:rPr>
          <w:sz w:val="18"/>
          <w:szCs w:val="18"/>
        </w:rPr>
      </w:pPr>
      <w:r>
        <w:rPr>
          <w:color w:val="FF0000"/>
          <w:sz w:val="18"/>
          <w:szCs w:val="18"/>
        </w:rPr>
        <w:t xml:space="preserve">       </w:t>
      </w:r>
      <w:r>
        <w:rPr>
          <w:color w:val="FF0000"/>
          <w:sz w:val="18"/>
          <w:szCs w:val="18"/>
        </w:rPr>
        <w:t>P</w:t>
      </w:r>
      <w:r>
        <w:rPr>
          <w:color w:val="FF0000"/>
          <w:sz w:val="18"/>
          <w:szCs w:val="18"/>
        </w:rPr>
        <w:t xml:space="preserve">arapety wewnętrzne pozostają bez zmian. </w:t>
      </w:r>
      <w:r>
        <w:rPr>
          <w:color w:val="FF0000"/>
          <w:sz w:val="18"/>
          <w:szCs w:val="18"/>
        </w:rPr>
        <w:t>N</w:t>
      </w:r>
      <w:r>
        <w:rPr>
          <w:color w:val="FF0000"/>
          <w:sz w:val="18"/>
          <w:szCs w:val="18"/>
        </w:rPr>
        <w:t>ie są przeznaczone do wymiany</w:t>
      </w:r>
    </w:p>
    <w:p>
      <w:pPr>
        <w:pStyle w:val="Normal"/>
        <w:jc w:val="both"/>
        <w:rPr>
          <w:rFonts w:ascii="CIDFont+F3" w:hAnsi="CIDFont+F3"/>
          <w:sz w:val="22"/>
        </w:rPr>
      </w:pPr>
      <w:r>
        <w:rPr>
          <w:color w:val="000000"/>
          <w:sz w:val="18"/>
          <w:szCs w:val="18"/>
        </w:rPr>
      </w:r>
    </w:p>
    <w:p>
      <w:pPr>
        <w:pStyle w:val="Normal"/>
        <w:jc w:val="both"/>
        <w:rPr>
          <w:color w:val="2A6099"/>
        </w:rPr>
      </w:pPr>
      <w:r>
        <w:rPr/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Niniejszy dokument stanowi integralną część dokumentacji przetargowej!!!!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CIDFont+F3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48594165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8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8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inline distT="0" distB="0" distL="0" distR="0">
          <wp:extent cx="5760720" cy="655320"/>
          <wp:effectExtent l="0" t="0" r="0" b="0"/>
          <wp:docPr id="1" name="Obraz 16" descr="C:\Users\Dell\Desktop\MARIOLA\Termomodernizacja\znaczki ter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Dell\Desktop\MARIOLA\Termomodernizacja\znaczki term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b w:val="false"/>
        <w:shd w:fill="auto" w:val="clear"/>
        <w:szCs w:val="20"/>
        <w:iCs w:val="false"/>
        <w:bCs w:val="false"/>
        <w:w w:val="100"/>
        <w:rFonts w:ascii="Times New Roman" w:hAnsi="Times New Roman" w:eastAsia="Times New Roman" w:cs="Times New Roman"/>
        <w:color w:val="000000"/>
        <w:lang w:val="en-US" w:eastAsia="en-US" w:bidi="en-US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lvl w:ilvl="0">
      <w:start w:val="23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0"/>
        <w:spacing w:val="0"/>
        <w:i w:val="false"/>
        <w:u w:val="none"/>
        <w:b w:val="false"/>
        <w:shd w:fill="auto" w:val="clear"/>
        <w:szCs w:val="20"/>
        <w:iCs w:val="false"/>
        <w:bCs w:val="false"/>
        <w:w w:val="100"/>
        <w:rFonts w:ascii="Times New Roman" w:hAnsi="Times New Roman" w:eastAsia="Times New Roman" w:cs="Times New Roman"/>
        <w:color w:val="000000"/>
        <w:lang w:val="en-US" w:eastAsia="en-US" w:bidi="en-US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31c4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 w:customStyle="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 w:customStyle="1">
    <w:name w:val="Heading 2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 w:customStyle="1">
    <w:name w:val="Heading 3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 w:customStyle="1">
    <w:name w:val="Heading 4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 w:customStyle="1">
    <w:name w:val="Heading 5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 w:customStyle="1">
    <w:name w:val="Heading 6"/>
    <w:basedOn w:val="Standard"/>
    <w:next w:val="Textbody"/>
    <w:uiPriority w:val="9"/>
    <w:semiHidden/>
    <w:unhideWhenUsed/>
    <w:qFormat/>
    <w:rsid w:val="00a644ee"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 w:customStyle="1">
    <w:name w:val="Heading 7"/>
    <w:basedOn w:val="Standard"/>
    <w:next w:val="Textbody"/>
    <w:qFormat/>
    <w:rsid w:val="00a644ee"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 w:customStyle="1">
    <w:name w:val="Heading 8"/>
    <w:basedOn w:val="Standard"/>
    <w:next w:val="Textbody"/>
    <w:qFormat/>
    <w:rsid w:val="00a644ee"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 w:customStyle="1">
    <w:name w:val="Heading 9"/>
    <w:basedOn w:val="Standard"/>
    <w:next w:val="Textbody"/>
    <w:qFormat/>
    <w:rsid w:val="00a644ee"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a644ee"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sid w:val="00a644ee"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sid w:val="00a644ee"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sid w:val="00a644ee"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sid w:val="00a644ee"/>
    <w:rPr/>
  </w:style>
  <w:style w:type="character" w:styleId="StopkaZnak" w:customStyle="1">
    <w:name w:val="Stopka Znak"/>
    <w:basedOn w:val="DefaultParagraphFont"/>
    <w:uiPriority w:val="99"/>
    <w:qFormat/>
    <w:rsid w:val="00a644ee"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sid w:val="00a644ee"/>
    <w:rPr>
      <w:color w:val="0000FF"/>
      <w:u w:val="single"/>
    </w:rPr>
  </w:style>
  <w:style w:type="character" w:styleId="TytuZnak" w:customStyle="1">
    <w:name w:val="Tytuł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644ee"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sid w:val="00a644ee"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sid w:val="00a644ee"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sid w:val="00a644ee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sid w:val="00a644ee"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 w:customStyle="1">
    <w:name w:val="Endnote Characters"/>
    <w:qFormat/>
    <w:rsid w:val="00a644ee"/>
    <w:rPr/>
  </w:style>
  <w:style w:type="character" w:styleId="Text1" w:customStyle="1">
    <w:name w:val="text1"/>
    <w:qFormat/>
    <w:rsid w:val="00a644ee"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sid w:val="00a644ee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a644ee"/>
    <w:rPr/>
  </w:style>
  <w:style w:type="character" w:styleId="Znakinumeracji" w:customStyle="1">
    <w:name w:val="Znaki numeracji"/>
    <w:qFormat/>
    <w:rsid w:val="00a644ee"/>
    <w:rPr/>
  </w:style>
  <w:style w:type="character" w:styleId="TekstpodstawowyZnak1" w:customStyle="1">
    <w:name w:val="Tekst podstawowy Znak1"/>
    <w:basedOn w:val="DefaultParagraphFont"/>
    <w:qFormat/>
    <w:rsid w:val="00a644ee"/>
    <w:rPr/>
  </w:style>
  <w:style w:type="character" w:styleId="TekstprzypisudolnegoZnak" w:customStyle="1">
    <w:name w:val="Tekst przypisu dolnego Znak"/>
    <w:basedOn w:val="DefaultParagraphFont"/>
    <w:qFormat/>
    <w:rsid w:val="00a644ee"/>
    <w:rPr>
      <w:sz w:val="20"/>
      <w:szCs w:val="20"/>
    </w:rPr>
  </w:style>
  <w:style w:type="character" w:styleId="Zakotwiczenieprzypisudolnego" w:customStyle="1">
    <w:name w:val="Zakotwiczenie przypisu dolnego"/>
    <w:rsid w:val="00a644ee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a644ee"/>
    <w:rPr>
      <w:vertAlign w:val="superscript"/>
    </w:rPr>
  </w:style>
  <w:style w:type="character" w:styleId="Znakiprzypiswdolnych" w:customStyle="1">
    <w:name w:val="Znaki przypisów dolnych"/>
    <w:qFormat/>
    <w:rsid w:val="00a644ee"/>
    <w:rPr/>
  </w:style>
  <w:style w:type="character" w:styleId="Znakiprzypiswkocowych" w:customStyle="1">
    <w:name w:val="Znaki przypisów końcowych"/>
    <w:qFormat/>
    <w:rsid w:val="00a644ee"/>
    <w:rPr/>
  </w:style>
  <w:style w:type="character" w:styleId="NagwekZnak1" w:customStyle="1">
    <w:name w:val="Nagłówek Znak1"/>
    <w:basedOn w:val="DefaultParagraphFont"/>
    <w:qFormat/>
    <w:rsid w:val="00a644ee"/>
    <w:rPr/>
  </w:style>
  <w:style w:type="character" w:styleId="AkapitzlistZnak" w:customStyle="1">
    <w:name w:val="Akapit z listą Znak"/>
    <w:uiPriority w:val="34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 w:customStyle="1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a644ee"/>
    <w:pPr>
      <w:spacing w:before="0" w:after="120"/>
    </w:pPr>
    <w:rPr/>
  </w:style>
  <w:style w:type="paragraph" w:styleId="Lista">
    <w:name w:val="List"/>
    <w:basedOn w:val="Standard"/>
    <w:rsid w:val="00a644ee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 w:customStyle="1">
    <w:name w:val="Caption"/>
    <w:basedOn w:val="Normal"/>
    <w:qFormat/>
    <w:rsid w:val="00a644e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rsid w:val="00a644ee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rsid w:val="00a644ee"/>
    <w:pPr/>
    <w:rPr/>
  </w:style>
  <w:style w:type="paragraph" w:styleId="Gwka" w:customStyle="1">
    <w:name w:val="Header"/>
    <w:basedOn w:val="Normal"/>
    <w:next w:val="Tretekstu"/>
    <w:uiPriority w:val="99"/>
    <w:rsid w:val="00a644e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agwek11" w:customStyle="1">
    <w:name w:val="Nagłówek1"/>
    <w:basedOn w:val="Standard"/>
    <w:next w:val="Tretekstu"/>
    <w:qFormat/>
    <w:rsid w:val="00a644ee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Caption">
    <w:name w:val="caption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Standard" w:customStyle="1">
    <w:name w:val="Standard"/>
    <w:qFormat/>
    <w:rsid w:val="00a644ee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rsid w:val="00a644ee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xtbodyindent" w:customStyle="1">
    <w:name w:val="Text body indent"/>
    <w:basedOn w:val="Standard"/>
    <w:qFormat/>
    <w:rsid w:val="00a644ee"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rsid w:val="00a644ee"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rsid w:val="00a644ee"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rsid w:val="00a644ee"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Stopka" w:customStyle="1">
    <w:name w:val="Footer"/>
    <w:basedOn w:val="Standard"/>
    <w:uiPriority w:val="99"/>
    <w:rsid w:val="00a644ee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rsid w:val="00a644ee"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rsid w:val="00a644ee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rsid w:val="00a644ee"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rsid w:val="00a644ee"/>
    <w:pPr>
      <w:widowControl/>
      <w:suppressAutoHyphens w:val="true"/>
      <w:bidi w:val="0"/>
      <w:spacing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rsid w:val="00a644ee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rsid w:val="00a644ee"/>
    <w:pPr/>
    <w:rPr>
      <w:b/>
      <w:bCs/>
    </w:rPr>
  </w:style>
  <w:style w:type="paragraph" w:styleId="ListBullet3">
    <w:name w:val="List Bullet 3"/>
    <w:basedOn w:val="Standard"/>
    <w:qFormat/>
    <w:rsid w:val="00a644ee"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rsid w:val="00a644ee"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rsid w:val="00a644ee"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rsid w:val="00a644ee"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rsid w:val="00a644ee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rsid w:val="00a644ee"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rsid w:val="00a644ee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rsid w:val="00a644ee"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rsid w:val="00a644ee"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 w:customStyle="1">
    <w:name w:val="Endnote Text"/>
    <w:basedOn w:val="Standard"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rsid w:val="00a644ee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rsid w:val="00a644ee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rsid w:val="00a644ee"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rsid w:val="00a644ee"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rsid w:val="00a644ee"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rsid w:val="00a644ee"/>
    <w:pPr/>
    <w:rPr/>
  </w:style>
  <w:style w:type="paragraph" w:styleId="Przypisdolny" w:customStyle="1">
    <w:name w:val="Footnote Text"/>
    <w:basedOn w:val="Normal"/>
    <w:rsid w:val="00a644ee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rsid w:val="00a644e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Zwykytekst1" w:customStyle="1">
    <w:name w:val="Zwykły tekst1"/>
    <w:basedOn w:val="Normal"/>
    <w:qFormat/>
    <w:rsid w:val="00a644ee"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rsid w:val="00a644ee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rsid w:val="00a644ee"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ar-SA"/>
    </w:rPr>
  </w:style>
  <w:style w:type="paragraph" w:styleId="Lista21" w:customStyle="1">
    <w:name w:val="Lista 21"/>
    <w:basedOn w:val="Normal"/>
    <w:qFormat/>
    <w:rsid w:val="003816e1"/>
    <w:pPr>
      <w:widowControl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tabs>
        <w:tab w:val="clear" w:pos="708"/>
        <w:tab w:val="left" w:pos="360" w:leader="none"/>
      </w:tabs>
      <w:spacing w:before="0" w:after="200"/>
      <w:ind w:left="360" w:hanging="360"/>
      <w:contextualSpacing/>
    </w:pPr>
    <w:rPr/>
  </w:style>
  <w:style w:type="paragraph" w:styleId="Teksttreci">
    <w:name w:val="Tekst treści"/>
    <w:basedOn w:val="Normal"/>
    <w:qFormat/>
    <w:pPr>
      <w:shd w:val="clear" w:color="auto" w:fill="FFFFFF"/>
      <w:spacing w:lineRule="auto" w:line="324"/>
    </w:pPr>
    <w:rPr>
      <w:rFonts w:ascii="Times New Roman" w:hAnsi="Times New Roman" w:eastAsia="Times New Roman" w:cs="Times New Roman"/>
      <w:sz w:val="20"/>
      <w:szCs w:val="20"/>
    </w:rPr>
  </w:style>
  <w:style w:type="paragraph" w:styleId="Nagwek12">
    <w:name w:val="Nagłówek #1"/>
    <w:basedOn w:val="Normal"/>
    <w:qFormat/>
    <w:pPr>
      <w:shd w:val="clear" w:color="auto" w:fill="FFFFFF"/>
      <w:spacing w:lineRule="auto" w:line="276" w:before="0" w:after="340"/>
      <w:ind w:left="2490" w:hanging="0"/>
      <w:outlineLvl w:val="0"/>
    </w:pPr>
    <w:rPr>
      <w:rFonts w:ascii="Times New Roman" w:hAnsi="Times New Roman" w:eastAsia="Times New Roman" w:cs="Times New Roman"/>
      <w:b/>
      <w:bCs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LibreOffice/7.3.2.2$Windows_X86_64 LibreOffice_project/49f2b1bff42cfccbd8f788c8dc32c1c309559be0</Application>
  <AppVersion>15.0000</AppVersion>
  <Pages>8</Pages>
  <Words>2306</Words>
  <Characters>15297</Characters>
  <CharactersWithSpaces>18044</CharactersWithSpaces>
  <Paragraphs>107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2026-08-10T08:05:00Z</dcterms:created>
  <dc:creator>Maria MO. Ornatowska</dc:creator>
  <dc:description/>
  <dc:language>pl-PL</dc:language>
  <cp:lastModifiedBy/>
  <cp:lastPrinted>2022-10-17T12:41:00Z</cp:lastPrinted>
  <dcterms:modified xsi:type="dcterms:W3CDTF">2026-08-11T17:03:55Z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