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99571" w14:textId="246F4C14" w:rsidR="000A73E2" w:rsidRPr="00B673BB" w:rsidRDefault="00B673BB" w:rsidP="00B673BB">
      <w:pPr>
        <w:jc w:val="right"/>
        <w:rPr>
          <w:rFonts w:ascii="Tahoma" w:hAnsi="Tahoma" w:cs="Tahoma"/>
          <w:b/>
          <w:bCs/>
        </w:rPr>
      </w:pPr>
      <w:r w:rsidRPr="7BF0DBF6">
        <w:rPr>
          <w:rFonts w:ascii="Tahoma" w:hAnsi="Tahoma" w:cs="Tahoma"/>
          <w:b/>
          <w:bCs/>
        </w:rPr>
        <w:t>Załącznik 1</w:t>
      </w:r>
      <w:r w:rsidR="043F72C0" w:rsidRPr="7BF0DBF6">
        <w:rPr>
          <w:rFonts w:ascii="Tahoma" w:hAnsi="Tahoma" w:cs="Tahoma"/>
          <w:b/>
          <w:bCs/>
        </w:rPr>
        <w:t>.</w:t>
      </w:r>
      <w:r w:rsidR="002F646B">
        <w:rPr>
          <w:rFonts w:ascii="Tahoma" w:hAnsi="Tahoma" w:cs="Tahoma"/>
          <w:b/>
          <w:bCs/>
        </w:rPr>
        <w:t>1</w:t>
      </w:r>
      <w:r w:rsidR="00123A02">
        <w:rPr>
          <w:rFonts w:ascii="Tahoma" w:hAnsi="Tahoma" w:cs="Tahoma"/>
          <w:b/>
          <w:bCs/>
        </w:rPr>
        <w:t>8</w:t>
      </w:r>
    </w:p>
    <w:p w14:paraId="19B52394" w14:textId="5B8666CD" w:rsidR="00200170" w:rsidRPr="00B673BB" w:rsidRDefault="000A64A5" w:rsidP="000A73E2">
      <w:pPr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P</w:t>
      </w:r>
      <w:r w:rsidRPr="000A64A5">
        <w:rPr>
          <w:rFonts w:ascii="Tahoma" w:hAnsi="Tahoma" w:cs="Tahoma"/>
          <w:b/>
          <w:bCs/>
        </w:rPr>
        <w:t>rzełącznik</w:t>
      </w:r>
      <w:r>
        <w:rPr>
          <w:rFonts w:ascii="Tahoma" w:hAnsi="Tahoma" w:cs="Tahoma"/>
          <w:b/>
          <w:bCs/>
        </w:rPr>
        <w:t>i</w:t>
      </w:r>
      <w:r w:rsidRPr="000A64A5">
        <w:rPr>
          <w:rFonts w:ascii="Tahoma" w:hAnsi="Tahoma" w:cs="Tahoma"/>
          <w:b/>
          <w:bCs/>
        </w:rPr>
        <w:t xml:space="preserve"> sieciow</w:t>
      </w:r>
      <w:r>
        <w:rPr>
          <w:rFonts w:ascii="Tahoma" w:hAnsi="Tahoma" w:cs="Tahoma"/>
          <w:b/>
          <w:bCs/>
        </w:rPr>
        <w:t>e</w:t>
      </w:r>
      <w:r w:rsidRPr="000A64A5">
        <w:rPr>
          <w:rFonts w:ascii="Tahoma" w:hAnsi="Tahoma" w:cs="Tahoma"/>
          <w:b/>
          <w:bCs/>
        </w:rPr>
        <w:t xml:space="preserve"> do poszczególnych lokalizacji systemów automatyki OT</w:t>
      </w:r>
      <w:r w:rsidR="00001903">
        <w:rPr>
          <w:rFonts w:ascii="Tahoma" w:hAnsi="Tahoma" w:cs="Tahoma"/>
          <w:b/>
          <w:bCs/>
        </w:rPr>
        <w:t xml:space="preserve"> (</w:t>
      </w:r>
      <w:r w:rsidR="00123A02">
        <w:rPr>
          <w:rFonts w:ascii="Tahoma" w:hAnsi="Tahoma" w:cs="Tahoma"/>
          <w:b/>
          <w:bCs/>
        </w:rPr>
        <w:t>1</w:t>
      </w:r>
      <w:r w:rsidR="00001903">
        <w:rPr>
          <w:rFonts w:ascii="Tahoma" w:hAnsi="Tahoma" w:cs="Tahoma"/>
          <w:b/>
          <w:bCs/>
        </w:rPr>
        <w:t xml:space="preserve"> sztuk</w:t>
      </w:r>
      <w:r w:rsidR="00123A02">
        <w:rPr>
          <w:rFonts w:ascii="Tahoma" w:hAnsi="Tahoma" w:cs="Tahoma"/>
          <w:b/>
          <w:bCs/>
        </w:rPr>
        <w:t>a</w:t>
      </w:r>
      <w:r w:rsidR="00001903">
        <w:rPr>
          <w:rFonts w:ascii="Tahoma" w:hAnsi="Tahoma" w:cs="Tahoma"/>
          <w:b/>
          <w:bCs/>
        </w:rPr>
        <w:t>)</w:t>
      </w:r>
    </w:p>
    <w:tbl>
      <w:tblPr>
        <w:tblStyle w:val="Tabela-Siatka"/>
        <w:tblW w:w="9628" w:type="dxa"/>
        <w:tblLook w:val="04A0" w:firstRow="1" w:lastRow="0" w:firstColumn="1" w:lastColumn="0" w:noHBand="0" w:noVBand="1"/>
      </w:tblPr>
      <w:tblGrid>
        <w:gridCol w:w="825"/>
        <w:gridCol w:w="2289"/>
        <w:gridCol w:w="6514"/>
      </w:tblGrid>
      <w:tr w:rsidR="00B673BB" w:rsidRPr="00B673BB" w14:paraId="7C7F5B46" w14:textId="77777777" w:rsidTr="6FE5B25D">
        <w:tc>
          <w:tcPr>
            <w:tcW w:w="825" w:type="dxa"/>
            <w:vAlign w:val="center"/>
            <w:hideMark/>
          </w:tcPr>
          <w:p w14:paraId="7B09849F" w14:textId="77777777" w:rsidR="00B673BB" w:rsidRPr="00B673BB" w:rsidRDefault="00B673BB" w:rsidP="55CC35FE">
            <w:pPr>
              <w:jc w:val="center"/>
              <w:rPr>
                <w:rFonts w:ascii="Tahoma" w:hAnsi="Tahoma" w:cs="Tahoma"/>
                <w:b/>
                <w:bCs/>
              </w:rPr>
            </w:pPr>
            <w:r w:rsidRPr="55CC35FE">
              <w:rPr>
                <w:rFonts w:ascii="Tahoma" w:hAnsi="Tahoma" w:cs="Tahoma"/>
                <w:b/>
                <w:bCs/>
              </w:rPr>
              <w:t>L.p.</w:t>
            </w:r>
          </w:p>
        </w:tc>
        <w:tc>
          <w:tcPr>
            <w:tcW w:w="2289" w:type="dxa"/>
            <w:vAlign w:val="center"/>
            <w:hideMark/>
          </w:tcPr>
          <w:p w14:paraId="3731CE69" w14:textId="77777777" w:rsidR="00B673BB" w:rsidRPr="00B673BB" w:rsidRDefault="00B673BB" w:rsidP="55CC35FE">
            <w:pPr>
              <w:jc w:val="center"/>
              <w:rPr>
                <w:rFonts w:ascii="Tahoma" w:hAnsi="Tahoma" w:cs="Tahoma"/>
                <w:b/>
                <w:bCs/>
              </w:rPr>
            </w:pPr>
            <w:r w:rsidRPr="55CC35FE">
              <w:rPr>
                <w:rFonts w:ascii="Tahoma" w:hAnsi="Tahoma" w:cs="Tahoma"/>
                <w:b/>
                <w:bCs/>
              </w:rPr>
              <w:t>Parametr</w:t>
            </w:r>
          </w:p>
        </w:tc>
        <w:tc>
          <w:tcPr>
            <w:tcW w:w="6514" w:type="dxa"/>
            <w:vAlign w:val="center"/>
            <w:hideMark/>
          </w:tcPr>
          <w:p w14:paraId="0CC8555C" w14:textId="77777777" w:rsidR="00B673BB" w:rsidRPr="00B673BB" w:rsidRDefault="00B673BB" w:rsidP="55CC35FE">
            <w:pPr>
              <w:jc w:val="center"/>
              <w:rPr>
                <w:rFonts w:ascii="Tahoma" w:hAnsi="Tahoma" w:cs="Tahoma"/>
                <w:b/>
                <w:bCs/>
              </w:rPr>
            </w:pPr>
            <w:r w:rsidRPr="55CC35FE">
              <w:rPr>
                <w:rFonts w:ascii="Tahoma" w:hAnsi="Tahoma" w:cs="Tahoma"/>
                <w:b/>
                <w:bCs/>
              </w:rPr>
              <w:t>Wymaganie minimalne</w:t>
            </w:r>
          </w:p>
        </w:tc>
      </w:tr>
      <w:tr w:rsidR="00B673BB" w:rsidRPr="00B673BB" w14:paraId="49207972" w14:textId="77777777" w:rsidTr="6FE5B25D">
        <w:tc>
          <w:tcPr>
            <w:tcW w:w="825" w:type="dxa"/>
            <w:vAlign w:val="center"/>
            <w:hideMark/>
          </w:tcPr>
          <w:p w14:paraId="3CDD76C1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17219A5D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Typ przełącznika</w:t>
            </w:r>
          </w:p>
        </w:tc>
        <w:tc>
          <w:tcPr>
            <w:tcW w:w="6514" w:type="dxa"/>
            <w:hideMark/>
          </w:tcPr>
          <w:p w14:paraId="7F2BA9DD" w14:textId="3E0B8F7D" w:rsidR="00F6057D" w:rsidRPr="00B673BB" w:rsidRDefault="00B673BB" w:rsidP="00F6057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sieciowy typu Ethernet przeznaczony do pracy w sieciach lokalnych, zarządzalny, wyposażony w porty Gigabit Ethernet oraz porty uplink umożliwiające podłączenie do infrastruktury sieciowej wyższego poziomu. Urządzenie musi być przeznaczone do pracy w środowiskach wymagających stabilnej i ciągłej komunikacji sieciowej, w tym w sieciach wykorzystywanych do obsługi systemów automatyki oraz infrastruktury informatycznej.</w:t>
            </w:r>
          </w:p>
        </w:tc>
      </w:tr>
      <w:tr w:rsidR="00B673BB" w:rsidRPr="00B673BB" w14:paraId="5A028781" w14:textId="77777777" w:rsidTr="6FE5B25D">
        <w:tc>
          <w:tcPr>
            <w:tcW w:w="825" w:type="dxa"/>
            <w:vAlign w:val="center"/>
            <w:hideMark/>
          </w:tcPr>
          <w:p w14:paraId="7DDFF57C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13D9858B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Warstwa przełączania</w:t>
            </w:r>
          </w:p>
        </w:tc>
        <w:tc>
          <w:tcPr>
            <w:tcW w:w="6514" w:type="dxa"/>
            <w:hideMark/>
          </w:tcPr>
          <w:p w14:paraId="1AE4E3C4" w14:textId="48C4976B" w:rsidR="00B673BB" w:rsidRPr="00B673BB" w:rsidRDefault="00B673BB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realizować funkcje przełączania w warstwie drugiej modelu OSI (Layer 2), umożliwiające zarządzanie ruchem sieciowym na podstawie adresów MAC oraz obsługę mechanizmów segmentacji i kontroli ruchu niezbędnych do pracy w sieciach lokalnych, w tym w środowiskach współpracujących z urządzeniami automatyki oraz systemami informatycznymi.</w:t>
            </w:r>
          </w:p>
        </w:tc>
      </w:tr>
      <w:tr w:rsidR="00B673BB" w:rsidRPr="00B673BB" w14:paraId="3E53520E" w14:textId="77777777" w:rsidTr="6FE5B25D">
        <w:tc>
          <w:tcPr>
            <w:tcW w:w="825" w:type="dxa"/>
            <w:vAlign w:val="center"/>
            <w:hideMark/>
          </w:tcPr>
          <w:p w14:paraId="2E154DA2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3</w:t>
            </w:r>
          </w:p>
        </w:tc>
        <w:tc>
          <w:tcPr>
            <w:tcW w:w="2289" w:type="dxa"/>
            <w:vAlign w:val="center"/>
            <w:hideMark/>
          </w:tcPr>
          <w:p w14:paraId="02501DAA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Liczba portów Ethernet 10/100/1000</w:t>
            </w:r>
          </w:p>
        </w:tc>
        <w:tc>
          <w:tcPr>
            <w:tcW w:w="6514" w:type="dxa"/>
            <w:hideMark/>
          </w:tcPr>
          <w:p w14:paraId="568EC61E" w14:textId="340943D1" w:rsidR="00B673BB" w:rsidRPr="00B673BB" w:rsidRDefault="0C46661D" w:rsidP="6FE5B25D">
            <w:pPr>
              <w:spacing w:line="276" w:lineRule="auto"/>
              <w:jc w:val="both"/>
            </w:pPr>
            <w:r w:rsidRPr="6FE5B25D">
              <w:rPr>
                <w:rFonts w:ascii="Tahoma" w:eastAsia="Tahoma" w:hAnsi="Tahoma" w:cs="Tahoma"/>
              </w:rPr>
              <w:t>Przełącznik musi być wyposażony w co najmniej 8 portów Ethernet RJ-45, obsługujących transmisję z prędkością 10/100/1000 Mb/s, przeznaczonych do podłączania urządzeń końcowych, elementów infrastruktury sieciowej oraz urządzeń automatyki wymagających stabilnej komunikacji w sieci lokalnej. Wszystkie wymagane porty muszą być dostępne do jednoczesnego wykorzystania.</w:t>
            </w:r>
          </w:p>
        </w:tc>
      </w:tr>
      <w:tr w:rsidR="00B673BB" w:rsidRPr="00B673BB" w14:paraId="4F4A50F7" w14:textId="77777777" w:rsidTr="6FE5B25D">
        <w:tc>
          <w:tcPr>
            <w:tcW w:w="825" w:type="dxa"/>
            <w:vAlign w:val="center"/>
            <w:hideMark/>
          </w:tcPr>
          <w:p w14:paraId="1D7FB5CF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lastRenderedPageBreak/>
              <w:t>4</w:t>
            </w:r>
          </w:p>
        </w:tc>
        <w:tc>
          <w:tcPr>
            <w:tcW w:w="2289" w:type="dxa"/>
            <w:vAlign w:val="center"/>
            <w:hideMark/>
          </w:tcPr>
          <w:p w14:paraId="476E8E0E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Liczba portów uplink / combo RJ-45/SFP</w:t>
            </w:r>
          </w:p>
        </w:tc>
        <w:tc>
          <w:tcPr>
            <w:tcW w:w="6514" w:type="dxa"/>
            <w:hideMark/>
          </w:tcPr>
          <w:p w14:paraId="774C9057" w14:textId="1BFB8519" w:rsidR="00B673BB" w:rsidRPr="00B673BB" w:rsidRDefault="00B673BB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być wyposażony w porty uplink umożliwiające realizację połączeń z innymi przełącznikami, urządzeniami dystrybucyjnymi lub elementami infrastruktury nadrzędnej. Dopuszcza się zastosowanie portów typu combo RJ-45/SFP, zapewniających elastyczność doboru medium transmisyjnego w zależności od potrzeb środowiska sieciowego, w tym także w sieciach współpracujących z systemami automatyki.</w:t>
            </w:r>
          </w:p>
        </w:tc>
      </w:tr>
      <w:tr w:rsidR="00B673BB" w:rsidRPr="00B673BB" w14:paraId="44B2F45B" w14:textId="77777777" w:rsidTr="6FE5B25D">
        <w:tc>
          <w:tcPr>
            <w:tcW w:w="825" w:type="dxa"/>
            <w:vAlign w:val="center"/>
            <w:hideMark/>
          </w:tcPr>
          <w:p w14:paraId="7110FB34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5</w:t>
            </w:r>
          </w:p>
        </w:tc>
        <w:tc>
          <w:tcPr>
            <w:tcW w:w="2289" w:type="dxa"/>
            <w:vAlign w:val="center"/>
            <w:hideMark/>
          </w:tcPr>
          <w:p w14:paraId="3381F42D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VLAN</w:t>
            </w:r>
          </w:p>
        </w:tc>
        <w:tc>
          <w:tcPr>
            <w:tcW w:w="6514" w:type="dxa"/>
            <w:hideMark/>
          </w:tcPr>
          <w:p w14:paraId="03027AD2" w14:textId="77777777" w:rsidR="00B673BB" w:rsidRDefault="00B673BB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Przełącznik musi obsługiwać mechanizmy tworzenia i zarządzania logicznymi sieciami wirtualnymi VLAN, umożliwiające segmentację ruchu sieciowego, wydzielanie odrębnych stref komunikacyjnych oraz separację urządzeń i usług. </w:t>
            </w:r>
          </w:p>
          <w:p w14:paraId="1B81269C" w14:textId="5ADCBC39" w:rsidR="005451FD" w:rsidRPr="00B673BB" w:rsidRDefault="005451FD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451FD">
              <w:rPr>
                <w:rFonts w:ascii="Tahoma" w:hAnsi="Tahoma" w:cs="Tahoma"/>
              </w:rPr>
              <w:t>Przełącznik musi umożliwiać taką konfigurację sieci VLAN oraz portów trunk/access, aby możliwe było wydzielenie segmentów komunikacyjnych OT oraz przekazanie kopii ruchu z wybranych VLAN do sond monitorowania OT, zgodnie z architekturą wdrożenia systemu bezpieczeństwa OT.</w:t>
            </w:r>
          </w:p>
        </w:tc>
      </w:tr>
      <w:tr w:rsidR="00B673BB" w:rsidRPr="00B673BB" w14:paraId="61C8A876" w14:textId="77777777" w:rsidTr="6FE5B25D">
        <w:tc>
          <w:tcPr>
            <w:tcW w:w="825" w:type="dxa"/>
            <w:vAlign w:val="center"/>
            <w:hideMark/>
          </w:tcPr>
          <w:p w14:paraId="20551E0D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6</w:t>
            </w:r>
          </w:p>
        </w:tc>
        <w:tc>
          <w:tcPr>
            <w:tcW w:w="2289" w:type="dxa"/>
            <w:vAlign w:val="center"/>
            <w:hideMark/>
          </w:tcPr>
          <w:p w14:paraId="7C6EAE23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IEEE 802.1Q</w:t>
            </w:r>
          </w:p>
        </w:tc>
        <w:tc>
          <w:tcPr>
            <w:tcW w:w="6514" w:type="dxa"/>
            <w:hideMark/>
          </w:tcPr>
          <w:p w14:paraId="372D61CC" w14:textId="3A2240A7" w:rsidR="00B673BB" w:rsidRPr="00B673BB" w:rsidRDefault="00B673BB" w:rsidP="6FE5B25D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6FE5B25D">
              <w:rPr>
                <w:rFonts w:ascii="Tahoma" w:hAnsi="Tahoma" w:cs="Tahoma"/>
              </w:rPr>
              <w:t>Przełącznik musi obsługiwać standard IEEE 802.1Q w zakresie znakowania ramek Ethernet dla sieci VLAN, umożliwiający logiczną segmentację ruchu oraz prawidłowe przenoszenie informacji o przynależności do sieci wirtualnych pomiędzy urządzeniami sieciowymi. Funkcjonalność ta musi zapewniać współpracę z innymi elementami infrastruktury oraz wspierać bezpieczną i uporządkowaną organizację komunikacji, w tym w środowiskach wykorzystujących urządzenia automatyki i systemy informatyczne.</w:t>
            </w:r>
          </w:p>
          <w:p w14:paraId="3D1B779D" w14:textId="0933C2E8" w:rsidR="00B673BB" w:rsidRPr="00B673BB" w:rsidRDefault="00B673BB" w:rsidP="6FE5B25D">
            <w:pPr>
              <w:spacing w:line="276" w:lineRule="auto"/>
              <w:jc w:val="both"/>
              <w:rPr>
                <w:rFonts w:ascii="Tahoma" w:eastAsia="Tahoma" w:hAnsi="Tahoma" w:cs="Tahoma"/>
              </w:rPr>
            </w:pPr>
          </w:p>
        </w:tc>
      </w:tr>
      <w:tr w:rsidR="00B673BB" w:rsidRPr="00B673BB" w14:paraId="71600690" w14:textId="77777777" w:rsidTr="6FE5B25D">
        <w:tc>
          <w:tcPr>
            <w:tcW w:w="825" w:type="dxa"/>
            <w:vAlign w:val="center"/>
            <w:hideMark/>
          </w:tcPr>
          <w:p w14:paraId="69F39C51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lastRenderedPageBreak/>
              <w:t>7</w:t>
            </w:r>
          </w:p>
        </w:tc>
        <w:tc>
          <w:tcPr>
            <w:tcW w:w="2289" w:type="dxa"/>
            <w:vAlign w:val="center"/>
            <w:hideMark/>
          </w:tcPr>
          <w:p w14:paraId="41C0CD61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IEEE 802.1X</w:t>
            </w:r>
          </w:p>
        </w:tc>
        <w:tc>
          <w:tcPr>
            <w:tcW w:w="6514" w:type="dxa"/>
            <w:hideMark/>
          </w:tcPr>
          <w:p w14:paraId="1C93E90B" w14:textId="07AB7DFD" w:rsidR="00B673BB" w:rsidRPr="00B673BB" w:rsidRDefault="00B673BB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 xml:space="preserve">Przełącznik musi obsługiwać standard IEEE 802.1X w zakresie kontroli dostępu do sieci, umożliwiający uwierzytelnianie urządzeń lub użytkowników przed uzyskaniem dostępu do zasobów sieciowych. </w:t>
            </w:r>
          </w:p>
        </w:tc>
      </w:tr>
      <w:tr w:rsidR="00B673BB" w:rsidRPr="00B673BB" w14:paraId="5B1D6E44" w14:textId="77777777" w:rsidTr="6FE5B25D">
        <w:tc>
          <w:tcPr>
            <w:tcW w:w="825" w:type="dxa"/>
            <w:vAlign w:val="center"/>
            <w:hideMark/>
          </w:tcPr>
          <w:p w14:paraId="0BE8ABAA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8</w:t>
            </w:r>
          </w:p>
        </w:tc>
        <w:tc>
          <w:tcPr>
            <w:tcW w:w="2289" w:type="dxa"/>
            <w:vAlign w:val="center"/>
            <w:hideMark/>
          </w:tcPr>
          <w:p w14:paraId="780E5B37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Lista kontroli dostępu ACL</w:t>
            </w:r>
          </w:p>
        </w:tc>
        <w:tc>
          <w:tcPr>
            <w:tcW w:w="6514" w:type="dxa"/>
            <w:hideMark/>
          </w:tcPr>
          <w:p w14:paraId="59CE519A" w14:textId="71FA73DC" w:rsidR="00B673BB" w:rsidRPr="00B673BB" w:rsidRDefault="00001903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obsługiwać listy kontroli dostępu ACL, umożliwiające definiowanie i stosowanie reguł filtrowania ruchu sieciowego na podstawie wybranych kryteriów komunikacyjnych. Funkcjonalność ta musi wspierać ograniczanie nieautoryzowanego ruchu, separację komunikacji pomiędzy wybranymi segmentami sieci oraz podnoszenie poziomu bezpieczeństwa infrastruktury, w tym w środowiskach współpracujących z urządzeniami automatyki i systemami informatycznymi.</w:t>
            </w:r>
          </w:p>
        </w:tc>
      </w:tr>
      <w:tr w:rsidR="00FB573D" w:rsidRPr="00B673BB" w14:paraId="501918CA" w14:textId="77777777" w:rsidTr="6FE5B25D">
        <w:tc>
          <w:tcPr>
            <w:tcW w:w="825" w:type="dxa"/>
            <w:vAlign w:val="center"/>
          </w:tcPr>
          <w:p w14:paraId="781F14C3" w14:textId="5B8C62DE" w:rsidR="00FB573D" w:rsidRPr="00B673BB" w:rsidRDefault="00FB573D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9</w:t>
            </w:r>
          </w:p>
        </w:tc>
        <w:tc>
          <w:tcPr>
            <w:tcW w:w="2289" w:type="dxa"/>
            <w:vAlign w:val="center"/>
          </w:tcPr>
          <w:p w14:paraId="5B6C8030" w14:textId="48044CDB" w:rsidR="00FB573D" w:rsidRPr="00B673BB" w:rsidRDefault="00FB573D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MACsec</w:t>
            </w:r>
          </w:p>
        </w:tc>
        <w:tc>
          <w:tcPr>
            <w:tcW w:w="6514" w:type="dxa"/>
          </w:tcPr>
          <w:p w14:paraId="7DBA59CB" w14:textId="77777777" w:rsidR="00FB573D" w:rsidRDefault="00FB573D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obsługiwać mechanizmy szyfrowania ruchu warstwy drugiej zgodne ze standardem IEEE 802.1AE (MACsec).</w:t>
            </w:r>
          </w:p>
          <w:p w14:paraId="6C7E9B4F" w14:textId="21924317" w:rsidR="005451FD" w:rsidRPr="00001903" w:rsidRDefault="005451FD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5451FD">
              <w:rPr>
                <w:rFonts w:ascii="Tahoma" w:hAnsi="Tahoma" w:cs="Tahoma"/>
              </w:rPr>
              <w:t>Wykonawca zobowiązany jest zaprojektować sposób użycia MACsec w taki sposób, aby ruch wymagający analizy przez sondy był dostępny dla mechanizmów monitorowania w postaci umożliwiającej identyfikację urządzeń, protokołów, relacji komunikacyjnych, anomalii oraz zdarzeń bezpieczeństwa. Jeżeli zastosowanie MACsec na określonym łączu uniemożliwiałoby analizę ruchu przez sondę, Wykonawca zobowiązany jest wskazać to w projekcie technicznym oraz zaproponować sposób zapewnienia wymaganej widoczności ruchu.</w:t>
            </w:r>
          </w:p>
        </w:tc>
      </w:tr>
      <w:tr w:rsidR="00B673BB" w:rsidRPr="00B673BB" w14:paraId="2554D846" w14:textId="77777777" w:rsidTr="6FE5B25D">
        <w:tc>
          <w:tcPr>
            <w:tcW w:w="825" w:type="dxa"/>
            <w:vAlign w:val="center"/>
            <w:hideMark/>
          </w:tcPr>
          <w:p w14:paraId="0BAE90C4" w14:textId="2F61EA20" w:rsidR="00B673BB" w:rsidRPr="00B673BB" w:rsidRDefault="00FB573D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10</w:t>
            </w:r>
          </w:p>
        </w:tc>
        <w:tc>
          <w:tcPr>
            <w:tcW w:w="2289" w:type="dxa"/>
            <w:vAlign w:val="center"/>
            <w:hideMark/>
          </w:tcPr>
          <w:p w14:paraId="42F45E09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multicast / IGMP Snooping</w:t>
            </w:r>
          </w:p>
        </w:tc>
        <w:tc>
          <w:tcPr>
            <w:tcW w:w="6514" w:type="dxa"/>
            <w:hideMark/>
          </w:tcPr>
          <w:p w14:paraId="33C846E7" w14:textId="17826D11" w:rsidR="00B673BB" w:rsidRPr="00B673BB" w:rsidRDefault="00001903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obsługiwać ruch multicast oraz mechanizmy IGMP Snooping, umożliwiające kontrolowane przekazywanie transmisji grupowej wyłącznie do portów, dla których jest ona wymagana.</w:t>
            </w:r>
          </w:p>
        </w:tc>
      </w:tr>
      <w:tr w:rsidR="00B673BB" w:rsidRPr="00B673BB" w14:paraId="633D81A9" w14:textId="77777777" w:rsidTr="6FE5B25D">
        <w:tc>
          <w:tcPr>
            <w:tcW w:w="825" w:type="dxa"/>
            <w:vAlign w:val="center"/>
            <w:hideMark/>
          </w:tcPr>
          <w:p w14:paraId="42F9AC6D" w14:textId="2115E403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lastRenderedPageBreak/>
              <w:t>1</w:t>
            </w:r>
            <w:r w:rsidR="00FB573D" w:rsidRPr="55CC35FE">
              <w:rPr>
                <w:rFonts w:ascii="Tahoma" w:hAnsi="Tahoma" w:cs="Tahoma"/>
              </w:rPr>
              <w:t>1</w:t>
            </w:r>
          </w:p>
        </w:tc>
        <w:tc>
          <w:tcPr>
            <w:tcW w:w="2289" w:type="dxa"/>
            <w:vAlign w:val="center"/>
            <w:hideMark/>
          </w:tcPr>
          <w:p w14:paraId="7F58B7DF" w14:textId="1D672B68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protokołu STP</w:t>
            </w:r>
          </w:p>
        </w:tc>
        <w:tc>
          <w:tcPr>
            <w:tcW w:w="6514" w:type="dxa"/>
            <w:hideMark/>
          </w:tcPr>
          <w:p w14:paraId="0992E3E5" w14:textId="15DD82F0" w:rsidR="00B673BB" w:rsidRPr="00B673BB" w:rsidRDefault="00001903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obsługiwać protokół STP (Spanning Tree Protocol) lub mechanizm równoważny, umożliwiający wykrywanie i eliminowanie pętli w topologii sieci Ethernet.</w:t>
            </w:r>
          </w:p>
        </w:tc>
      </w:tr>
      <w:tr w:rsidR="00B673BB" w:rsidRPr="00B673BB" w14:paraId="476B5FD3" w14:textId="77777777" w:rsidTr="6FE5B25D">
        <w:tc>
          <w:tcPr>
            <w:tcW w:w="825" w:type="dxa"/>
            <w:vAlign w:val="center"/>
            <w:hideMark/>
          </w:tcPr>
          <w:p w14:paraId="49A41672" w14:textId="22399C8A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</w:t>
            </w:r>
            <w:r w:rsidR="00FB573D" w:rsidRPr="55CC35FE">
              <w:rPr>
                <w:rFonts w:ascii="Tahoma" w:hAnsi="Tahoma" w:cs="Tahoma"/>
              </w:rPr>
              <w:t>2</w:t>
            </w:r>
          </w:p>
        </w:tc>
        <w:tc>
          <w:tcPr>
            <w:tcW w:w="2289" w:type="dxa"/>
            <w:vAlign w:val="center"/>
            <w:hideMark/>
          </w:tcPr>
          <w:p w14:paraId="36FDFC64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Zarządzanie przez interfejs WWW</w:t>
            </w:r>
          </w:p>
        </w:tc>
        <w:tc>
          <w:tcPr>
            <w:tcW w:w="6514" w:type="dxa"/>
            <w:hideMark/>
          </w:tcPr>
          <w:p w14:paraId="48C84E29" w14:textId="0C0F6150" w:rsidR="00B673BB" w:rsidRPr="00B673BB" w:rsidRDefault="00001903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umożliwiać zarządzanie i konfigurację za pośrednictwem graficznego interfejsu WWW, dostępnego z poziomu przeglądarki internetowej.</w:t>
            </w:r>
          </w:p>
        </w:tc>
      </w:tr>
      <w:tr w:rsidR="00B673BB" w:rsidRPr="00B673BB" w14:paraId="088B82AB" w14:textId="77777777" w:rsidTr="6FE5B25D">
        <w:tc>
          <w:tcPr>
            <w:tcW w:w="825" w:type="dxa"/>
            <w:vAlign w:val="center"/>
            <w:hideMark/>
          </w:tcPr>
          <w:p w14:paraId="7D47EED3" w14:textId="38DACB46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</w:t>
            </w:r>
            <w:r w:rsidR="00FB573D" w:rsidRPr="55CC35FE">
              <w:rPr>
                <w:rFonts w:ascii="Tahoma" w:hAnsi="Tahoma" w:cs="Tahoma"/>
              </w:rPr>
              <w:t>3</w:t>
            </w:r>
          </w:p>
        </w:tc>
        <w:tc>
          <w:tcPr>
            <w:tcW w:w="2289" w:type="dxa"/>
            <w:vAlign w:val="center"/>
            <w:hideMark/>
          </w:tcPr>
          <w:p w14:paraId="4BA2184D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Zarządzanie z wiersza poleceń (CLI)</w:t>
            </w:r>
          </w:p>
        </w:tc>
        <w:tc>
          <w:tcPr>
            <w:tcW w:w="6514" w:type="dxa"/>
            <w:hideMark/>
          </w:tcPr>
          <w:p w14:paraId="248B215C" w14:textId="46E8B5DE" w:rsidR="00B673BB" w:rsidRPr="00B673BB" w:rsidRDefault="00001903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umożliwiać zarządzanie i konfigurację z poziomu interfejsu wiersza poleceń (CLI), pozwalającego na wykonywanie czynności administracyjnych, diagnostycznych i konfiguracyjnych.</w:t>
            </w:r>
          </w:p>
        </w:tc>
      </w:tr>
      <w:tr w:rsidR="00B673BB" w:rsidRPr="00B673BB" w14:paraId="591A741F" w14:textId="77777777" w:rsidTr="6FE5B25D">
        <w:tc>
          <w:tcPr>
            <w:tcW w:w="825" w:type="dxa"/>
            <w:vAlign w:val="center"/>
            <w:hideMark/>
          </w:tcPr>
          <w:p w14:paraId="679E1EC4" w14:textId="066411F0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1</w:t>
            </w:r>
            <w:r w:rsidR="00FB573D" w:rsidRPr="55CC35FE">
              <w:rPr>
                <w:rFonts w:ascii="Tahoma" w:hAnsi="Tahoma" w:cs="Tahoma"/>
              </w:rPr>
              <w:t>4</w:t>
            </w:r>
          </w:p>
        </w:tc>
        <w:tc>
          <w:tcPr>
            <w:tcW w:w="2289" w:type="dxa"/>
            <w:vAlign w:val="center"/>
            <w:hideMark/>
          </w:tcPr>
          <w:p w14:paraId="380F4242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Obsługa bezpiecznego zarządzania (SSH / HTTPS / SSL/TLS)</w:t>
            </w:r>
          </w:p>
        </w:tc>
        <w:tc>
          <w:tcPr>
            <w:tcW w:w="6514" w:type="dxa"/>
            <w:hideMark/>
          </w:tcPr>
          <w:p w14:paraId="3C6DBDE3" w14:textId="34DE171F" w:rsidR="00B673BB" w:rsidRPr="00B673BB" w:rsidRDefault="00001903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obsługiwać mechanizmy bezpiecznego zarządzania z wykorzystaniem szyfrowanych protokołów komunikacyjnych, takich jak SSH, HTTPS oraz SSL/TLS, zapewniających ochronę poufności i integralności danych przesyłanych podczas administracji urządzeniem.</w:t>
            </w:r>
          </w:p>
        </w:tc>
      </w:tr>
      <w:tr w:rsidR="008C3BDA" w:rsidRPr="00B673BB" w14:paraId="12EA0FD4" w14:textId="77777777" w:rsidTr="6FE5B25D">
        <w:tc>
          <w:tcPr>
            <w:tcW w:w="825" w:type="dxa"/>
            <w:vAlign w:val="center"/>
          </w:tcPr>
          <w:p w14:paraId="4F34C07D" w14:textId="6B96F674" w:rsidR="008C3BDA" w:rsidRPr="55CC35FE" w:rsidRDefault="008C3BDA" w:rsidP="55CC35FE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15</w:t>
            </w:r>
          </w:p>
        </w:tc>
        <w:tc>
          <w:tcPr>
            <w:tcW w:w="2289" w:type="dxa"/>
            <w:vAlign w:val="center"/>
          </w:tcPr>
          <w:p w14:paraId="35C96E20" w14:textId="7AF4154E" w:rsidR="008C3BDA" w:rsidRPr="55CC35FE" w:rsidRDefault="008C3BDA" w:rsidP="55CC35FE">
            <w:pPr>
              <w:rPr>
                <w:rFonts w:ascii="Tahoma" w:hAnsi="Tahoma" w:cs="Tahoma"/>
              </w:rPr>
            </w:pPr>
            <w:r w:rsidRPr="008C3BDA">
              <w:rPr>
                <w:rFonts w:ascii="Tahoma" w:hAnsi="Tahoma" w:cs="Tahoma"/>
              </w:rPr>
              <w:t>Współpraca z sondami monitorowania OT</w:t>
            </w:r>
          </w:p>
        </w:tc>
        <w:tc>
          <w:tcPr>
            <w:tcW w:w="6514" w:type="dxa"/>
          </w:tcPr>
          <w:p w14:paraId="4644B86B" w14:textId="77777777" w:rsidR="008C3BDA" w:rsidRPr="008C3BDA" w:rsidRDefault="008C3BDA" w:rsidP="008C3BDA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C3BDA">
              <w:rPr>
                <w:rFonts w:ascii="Tahoma" w:hAnsi="Tahoma" w:cs="Tahoma"/>
              </w:rPr>
              <w:t>Przełącznik musi umożliwiać konfigurację portów przeznaczonych do podłączenia sond monitorowania OT, w szczególności poprzez przekazywanie do nich kopii ruchu z wybranych portów, segmentów lub VLAN, bez wpływu na ciągłość komunikacji produkcyjnej.</w:t>
            </w:r>
          </w:p>
          <w:p w14:paraId="5563AE59" w14:textId="77777777" w:rsidR="008C3BDA" w:rsidRPr="008C3BDA" w:rsidRDefault="008C3BDA" w:rsidP="008C3BDA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C3BDA">
              <w:rPr>
                <w:rFonts w:ascii="Tahoma" w:hAnsi="Tahoma" w:cs="Tahoma"/>
              </w:rPr>
              <w:t>Przełącznik musi umożliwiać wydzielenie portów produkcyjnych, portów uplink, portów zarządzających oraz portów monitorujących, zgodnie z projektem technicznym wdrożenia systemu bezpieczeństwa OT.</w:t>
            </w:r>
          </w:p>
          <w:p w14:paraId="0B929EFD" w14:textId="01CAD8BE" w:rsidR="008C3BDA" w:rsidRPr="55CC35FE" w:rsidRDefault="008C3BDA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008C3BDA">
              <w:rPr>
                <w:rFonts w:ascii="Tahoma" w:hAnsi="Tahoma" w:cs="Tahoma"/>
              </w:rPr>
              <w:t xml:space="preserve">Wykonawca zobowiązany jest zapewnić, aby konfiguracja przełączników była spójna z konfiguracją sond sprzętowych </w:t>
            </w:r>
            <w:r w:rsidRPr="008C3BDA">
              <w:rPr>
                <w:rFonts w:ascii="Tahoma" w:hAnsi="Tahoma" w:cs="Tahoma"/>
              </w:rPr>
              <w:lastRenderedPageBreak/>
              <w:t>oraz centralnego systemu bezpieczeństwa OT dostarczanych w ramach niniejszego zamówienia.</w:t>
            </w:r>
          </w:p>
        </w:tc>
      </w:tr>
      <w:tr w:rsidR="00B673BB" w:rsidRPr="00B673BB" w14:paraId="791BE03B" w14:textId="77777777" w:rsidTr="6FE5B25D">
        <w:tc>
          <w:tcPr>
            <w:tcW w:w="825" w:type="dxa"/>
            <w:vAlign w:val="center"/>
            <w:hideMark/>
          </w:tcPr>
          <w:p w14:paraId="3509982B" w14:textId="67D9EE5A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lastRenderedPageBreak/>
              <w:t>1</w:t>
            </w:r>
            <w:r w:rsidR="008C3BDA">
              <w:rPr>
                <w:rFonts w:ascii="Tahoma" w:hAnsi="Tahoma" w:cs="Tahoma"/>
              </w:rPr>
              <w:t>6</w:t>
            </w:r>
          </w:p>
        </w:tc>
        <w:tc>
          <w:tcPr>
            <w:tcW w:w="2289" w:type="dxa"/>
            <w:vAlign w:val="center"/>
            <w:hideMark/>
          </w:tcPr>
          <w:p w14:paraId="4C1F7752" w14:textId="77777777" w:rsidR="00B673BB" w:rsidRPr="00B673BB" w:rsidRDefault="00B673BB" w:rsidP="55CC35FE">
            <w:pPr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Możliwość montażu w szafie rack</w:t>
            </w:r>
          </w:p>
        </w:tc>
        <w:tc>
          <w:tcPr>
            <w:tcW w:w="6514" w:type="dxa"/>
            <w:hideMark/>
          </w:tcPr>
          <w:p w14:paraId="6E316C7D" w14:textId="01E82417" w:rsidR="00B673BB" w:rsidRPr="00B673BB" w:rsidRDefault="00001903" w:rsidP="55CC35FE">
            <w:pPr>
              <w:spacing w:line="276" w:lineRule="auto"/>
              <w:jc w:val="both"/>
              <w:rPr>
                <w:rFonts w:ascii="Tahoma" w:hAnsi="Tahoma" w:cs="Tahoma"/>
              </w:rPr>
            </w:pPr>
            <w:r w:rsidRPr="55CC35FE">
              <w:rPr>
                <w:rFonts w:ascii="Tahoma" w:hAnsi="Tahoma" w:cs="Tahoma"/>
              </w:rPr>
              <w:t>Przełącznik musi być przystosowany do montażu w standardowej szafie teleinformatycznej typu rack lub dostarczany z rozwiązaniem umożliwiającym taki montaż.</w:t>
            </w:r>
          </w:p>
        </w:tc>
      </w:tr>
      <w:tr w:rsidR="6FE5B25D" w14:paraId="47CCC58E" w14:textId="77777777" w:rsidTr="6FE5B25D">
        <w:trPr>
          <w:trHeight w:val="300"/>
        </w:trPr>
        <w:tc>
          <w:tcPr>
            <w:tcW w:w="825" w:type="dxa"/>
            <w:vAlign w:val="center"/>
            <w:hideMark/>
          </w:tcPr>
          <w:p w14:paraId="67BC5763" w14:textId="07ADC7FD" w:rsidR="7992F798" w:rsidRDefault="7992F798" w:rsidP="6FE5B25D">
            <w:pPr>
              <w:rPr>
                <w:rFonts w:ascii="Tahoma" w:hAnsi="Tahoma" w:cs="Tahoma"/>
              </w:rPr>
            </w:pPr>
            <w:r w:rsidRPr="6FE5B25D">
              <w:rPr>
                <w:rFonts w:ascii="Tahoma" w:hAnsi="Tahoma" w:cs="Tahoma"/>
              </w:rPr>
              <w:t>1</w:t>
            </w:r>
            <w:r w:rsidR="00850590">
              <w:rPr>
                <w:rFonts w:ascii="Tahoma" w:hAnsi="Tahoma" w:cs="Tahoma"/>
              </w:rPr>
              <w:t>7</w:t>
            </w:r>
          </w:p>
        </w:tc>
        <w:tc>
          <w:tcPr>
            <w:tcW w:w="2289" w:type="dxa"/>
            <w:vAlign w:val="center"/>
            <w:hideMark/>
          </w:tcPr>
          <w:p w14:paraId="266EBE37" w14:textId="34CCD525" w:rsidR="7992F798" w:rsidRDefault="7992F798" w:rsidP="6FE5B25D">
            <w:pPr>
              <w:rPr>
                <w:rFonts w:ascii="Tahoma" w:hAnsi="Tahoma" w:cs="Tahoma"/>
              </w:rPr>
            </w:pPr>
            <w:r w:rsidRPr="6FE5B25D">
              <w:rPr>
                <w:rFonts w:ascii="Tahoma" w:hAnsi="Tahoma" w:cs="Tahoma"/>
              </w:rPr>
              <w:t>Gwarancja</w:t>
            </w:r>
          </w:p>
        </w:tc>
        <w:tc>
          <w:tcPr>
            <w:tcW w:w="6514" w:type="dxa"/>
            <w:hideMark/>
          </w:tcPr>
          <w:p w14:paraId="0C19FC5A" w14:textId="680BC6C8" w:rsidR="7992F798" w:rsidRDefault="7992F798" w:rsidP="6FE5B25D">
            <w:pPr>
              <w:spacing w:line="276" w:lineRule="auto"/>
              <w:jc w:val="both"/>
            </w:pPr>
            <w:r w:rsidRPr="6FE5B25D">
              <w:rPr>
                <w:rFonts w:ascii="Tahoma" w:eastAsia="Tahoma" w:hAnsi="Tahoma" w:cs="Tahoma"/>
              </w:rPr>
              <w:t>Przełącznik musi być objęty gwarancją na okres co najmniej 36 miesięcy.</w:t>
            </w:r>
          </w:p>
        </w:tc>
      </w:tr>
    </w:tbl>
    <w:p w14:paraId="2E59501D" w14:textId="77777777" w:rsidR="00200170" w:rsidRPr="00200170" w:rsidRDefault="00200170" w:rsidP="000A73E2">
      <w:pPr>
        <w:rPr>
          <w:rFonts w:ascii="Tahoma" w:hAnsi="Tahoma" w:cs="Tahoma"/>
        </w:rPr>
      </w:pPr>
    </w:p>
    <w:sectPr w:rsidR="00200170" w:rsidRPr="00200170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9F253" w14:textId="77777777" w:rsidR="00BB1582" w:rsidRDefault="00BB1582">
      <w:r>
        <w:separator/>
      </w:r>
    </w:p>
  </w:endnote>
  <w:endnote w:type="continuationSeparator" w:id="0">
    <w:p w14:paraId="076743A6" w14:textId="77777777" w:rsidR="00BB1582" w:rsidRDefault="00BB1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50FA8C71" w:rsidR="00C24F21" w:rsidRPr="00C24F21" w:rsidRDefault="00C41A18" w:rsidP="00CA518A">
    <w:pPr>
      <w:pStyle w:val="Stopka"/>
      <w:tabs>
        <w:tab w:val="right" w:pos="9720"/>
      </w:tabs>
      <w:jc w:val="center"/>
      <w:rPr>
        <w:rFonts w:asciiTheme="minorHAnsi" w:hAnsiTheme="minorHAnsi" w:cstheme="minorHAnsi"/>
        <w:color w:val="646464"/>
        <w:sz w:val="10"/>
        <w:szCs w:val="10"/>
      </w:rPr>
    </w:pPr>
    <w:r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2F71B98" w:rsidR="00760990" w:rsidRPr="00A25198" w:rsidRDefault="00A25198" w:rsidP="00A25198">
    <w:pPr>
      <w:pStyle w:val="Stopka"/>
      <w:tabs>
        <w:tab w:val="right" w:pos="9720"/>
      </w:tabs>
      <w:rPr>
        <w:rFonts w:asciiTheme="minorHAnsi" w:hAnsiTheme="minorHAnsi" w:cstheme="minorHAnsi"/>
        <w:color w:val="646464"/>
        <w:sz w:val="10"/>
        <w:szCs w:val="10"/>
      </w:rPr>
    </w:pPr>
    <w:r w:rsidRPr="00A25198">
      <w:rPr>
        <w:rFonts w:asciiTheme="minorHAnsi" w:hAnsiTheme="minorHAnsi" w:cstheme="minorHAns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25198">
      <w:rPr>
        <w:rFonts w:asciiTheme="minorHAnsi" w:hAnsiTheme="minorHAnsi" w:cstheme="minorHAnsi"/>
        <w:color w:val="646464"/>
        <w:sz w:val="10"/>
        <w:szCs w:val="10"/>
      </w:rPr>
      <w:t xml:space="preserve">CENTRUM PROJEKTÓW POLSKA CYFROWA </w:t>
    </w:r>
    <w:r w:rsidRPr="00A25198">
      <w:rPr>
        <w:rFonts w:asciiTheme="minorHAnsi" w:hAnsiTheme="minorHAnsi" w:cstheme="minorHAnsi"/>
        <w:color w:val="646464"/>
        <w:sz w:val="10"/>
        <w:szCs w:val="10"/>
      </w:rPr>
      <w:br/>
      <w:t>ul. Spokojna 13A, 01-044 Warszawa | infolinia: +48 223152340 | e-mail: cppc@cppc.gov.pl</w:t>
    </w:r>
    <w:r w:rsidR="00000000">
      <w:rPr>
        <w:rFonts w:asciiTheme="minorHAnsi" w:hAnsiTheme="minorHAnsi" w:cstheme="minorHAnsi"/>
        <w:noProof/>
        <w:sz w:val="10"/>
        <w:szCs w:val="10"/>
      </w:rPr>
      <w:pict w14:anchorId="323B3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alt="" style="position:absolute;margin-left:-60.5pt;margin-top:481.05pt;width:599.6pt;height:262.45pt;z-index:-251657728;mso-wrap-edited:f;mso-width-percent:0;mso-height-percent:0;mso-position-horizontal-relative:margin;mso-position-vertical-relative:margin;mso-width-percent:0;mso-height-percent:0" o:allowincell="f">
          <v:imagedata r:id="rId2" o:title="cppc_elementy_tla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1C6876" w14:textId="77777777" w:rsidR="00BB1582" w:rsidRDefault="00BB1582">
      <w:r>
        <w:separator/>
      </w:r>
    </w:p>
  </w:footnote>
  <w:footnote w:type="continuationSeparator" w:id="0">
    <w:p w14:paraId="2CE945E1" w14:textId="77777777" w:rsidR="00BB1582" w:rsidRDefault="00BB1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36EAA304" w:rsidR="00C41A18" w:rsidRDefault="00CA518A">
    <w:pPr>
      <w:pStyle w:val="Nagwek"/>
    </w:pPr>
    <w:r w:rsidRPr="00CA518A">
      <w:rPr>
        <w:rFonts w:asciiTheme="minorHAnsi" w:hAnsiTheme="minorHAnsi" w:cstheme="minorHAns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01903"/>
    <w:rsid w:val="00010FC6"/>
    <w:rsid w:val="0004603C"/>
    <w:rsid w:val="00065C40"/>
    <w:rsid w:val="00094EF6"/>
    <w:rsid w:val="000A4F92"/>
    <w:rsid w:val="000A64A5"/>
    <w:rsid w:val="000A73E2"/>
    <w:rsid w:val="000E21EF"/>
    <w:rsid w:val="000E45A5"/>
    <w:rsid w:val="0010162A"/>
    <w:rsid w:val="00123A02"/>
    <w:rsid w:val="001561C5"/>
    <w:rsid w:val="00200170"/>
    <w:rsid w:val="00214307"/>
    <w:rsid w:val="002571F6"/>
    <w:rsid w:val="002925F2"/>
    <w:rsid w:val="002B08FC"/>
    <w:rsid w:val="002B40F4"/>
    <w:rsid w:val="002D66BB"/>
    <w:rsid w:val="002E6BDD"/>
    <w:rsid w:val="002F646B"/>
    <w:rsid w:val="002F66E8"/>
    <w:rsid w:val="00306AC6"/>
    <w:rsid w:val="00310274"/>
    <w:rsid w:val="003134FE"/>
    <w:rsid w:val="003165EB"/>
    <w:rsid w:val="0032350E"/>
    <w:rsid w:val="003816DA"/>
    <w:rsid w:val="00385FFB"/>
    <w:rsid w:val="00412555"/>
    <w:rsid w:val="0042606F"/>
    <w:rsid w:val="00482EA3"/>
    <w:rsid w:val="004844AD"/>
    <w:rsid w:val="004E62F6"/>
    <w:rsid w:val="005115C2"/>
    <w:rsid w:val="005451FD"/>
    <w:rsid w:val="005A056A"/>
    <w:rsid w:val="005B7917"/>
    <w:rsid w:val="005E22E2"/>
    <w:rsid w:val="00670180"/>
    <w:rsid w:val="006760F1"/>
    <w:rsid w:val="006D19B4"/>
    <w:rsid w:val="006E040C"/>
    <w:rsid w:val="006E1081"/>
    <w:rsid w:val="006F3A4A"/>
    <w:rsid w:val="007021C9"/>
    <w:rsid w:val="007077F2"/>
    <w:rsid w:val="00735813"/>
    <w:rsid w:val="00760990"/>
    <w:rsid w:val="00761B48"/>
    <w:rsid w:val="00780D75"/>
    <w:rsid w:val="00834270"/>
    <w:rsid w:val="00850590"/>
    <w:rsid w:val="00863D3F"/>
    <w:rsid w:val="0088784C"/>
    <w:rsid w:val="008B2E44"/>
    <w:rsid w:val="008C3BDA"/>
    <w:rsid w:val="008C4DE6"/>
    <w:rsid w:val="008D7C6A"/>
    <w:rsid w:val="00924460"/>
    <w:rsid w:val="009823C9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47B53"/>
    <w:rsid w:val="00A834F4"/>
    <w:rsid w:val="00A8394D"/>
    <w:rsid w:val="00A955D5"/>
    <w:rsid w:val="00A97B93"/>
    <w:rsid w:val="00AD274B"/>
    <w:rsid w:val="00AE404F"/>
    <w:rsid w:val="00AF3CB9"/>
    <w:rsid w:val="00AF4EB4"/>
    <w:rsid w:val="00B02C1C"/>
    <w:rsid w:val="00B05295"/>
    <w:rsid w:val="00B066B2"/>
    <w:rsid w:val="00B371AE"/>
    <w:rsid w:val="00B37C91"/>
    <w:rsid w:val="00B546E9"/>
    <w:rsid w:val="00B615FE"/>
    <w:rsid w:val="00B619ED"/>
    <w:rsid w:val="00B673BB"/>
    <w:rsid w:val="00B82EF6"/>
    <w:rsid w:val="00BB1582"/>
    <w:rsid w:val="00BC79CC"/>
    <w:rsid w:val="00C029AA"/>
    <w:rsid w:val="00C06AC7"/>
    <w:rsid w:val="00C0733F"/>
    <w:rsid w:val="00C13123"/>
    <w:rsid w:val="00C14A13"/>
    <w:rsid w:val="00C24F21"/>
    <w:rsid w:val="00C3461A"/>
    <w:rsid w:val="00C41A18"/>
    <w:rsid w:val="00C6529D"/>
    <w:rsid w:val="00C76B3C"/>
    <w:rsid w:val="00C90E9C"/>
    <w:rsid w:val="00C965EE"/>
    <w:rsid w:val="00CA4211"/>
    <w:rsid w:val="00CA518A"/>
    <w:rsid w:val="00CB53C1"/>
    <w:rsid w:val="00CC431D"/>
    <w:rsid w:val="00CF1AB9"/>
    <w:rsid w:val="00DC0C56"/>
    <w:rsid w:val="00DD59C4"/>
    <w:rsid w:val="00E1663C"/>
    <w:rsid w:val="00E81AAD"/>
    <w:rsid w:val="00E82DDD"/>
    <w:rsid w:val="00EA5546"/>
    <w:rsid w:val="00EB7791"/>
    <w:rsid w:val="00EE312E"/>
    <w:rsid w:val="00F51176"/>
    <w:rsid w:val="00F6057D"/>
    <w:rsid w:val="00F6134F"/>
    <w:rsid w:val="00F753C2"/>
    <w:rsid w:val="00F8620F"/>
    <w:rsid w:val="00FB573D"/>
    <w:rsid w:val="00FE3AD8"/>
    <w:rsid w:val="00FF5508"/>
    <w:rsid w:val="043F72C0"/>
    <w:rsid w:val="050B18CD"/>
    <w:rsid w:val="0C46661D"/>
    <w:rsid w:val="0E3AAC98"/>
    <w:rsid w:val="1807E8A4"/>
    <w:rsid w:val="28F1233D"/>
    <w:rsid w:val="2DD9630C"/>
    <w:rsid w:val="4736B362"/>
    <w:rsid w:val="4F465427"/>
    <w:rsid w:val="50DD4CE1"/>
    <w:rsid w:val="55CC35FE"/>
    <w:rsid w:val="658EB723"/>
    <w:rsid w:val="6FE5B25D"/>
    <w:rsid w:val="70EA20A8"/>
    <w:rsid w:val="7932D4DC"/>
    <w:rsid w:val="7992F798"/>
    <w:rsid w:val="7BF0D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3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1002</Words>
  <Characters>5295</Characters>
  <Application>Microsoft Office Word</Application>
  <DocSecurity>0</DocSecurity>
  <Lines>529</Lines>
  <Paragraphs>419</Paragraphs>
  <ScaleCrop>false</ScaleCrop>
  <Company>MRR</Company>
  <LinksUpToDate>false</LinksUpToDate>
  <CharactersWithSpaces>5878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Artur Gusta</cp:lastModifiedBy>
  <cp:revision>15</cp:revision>
  <cp:lastPrinted>2018-03-26T09:55:00Z</cp:lastPrinted>
  <dcterms:created xsi:type="dcterms:W3CDTF">2026-03-27T10:46:00Z</dcterms:created>
  <dcterms:modified xsi:type="dcterms:W3CDTF">2026-07-05T19:17:00Z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