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99571" w14:textId="1283FFA7" w:rsidR="000A73E2" w:rsidRPr="00B673BB" w:rsidRDefault="00B673BB" w:rsidP="00B673BB">
      <w:pPr>
        <w:jc w:val="right"/>
        <w:rPr>
          <w:rFonts w:ascii="Tahoma" w:hAnsi="Tahoma" w:cs="Tahoma"/>
          <w:b/>
          <w:bCs/>
        </w:rPr>
      </w:pPr>
      <w:r w:rsidRPr="301DDDA6">
        <w:rPr>
          <w:rFonts w:ascii="Tahoma" w:hAnsi="Tahoma" w:cs="Tahoma"/>
          <w:b/>
          <w:bCs/>
        </w:rPr>
        <w:t>Załącznik 1</w:t>
      </w:r>
      <w:r w:rsidR="661B3C3D" w:rsidRPr="301DDDA6">
        <w:rPr>
          <w:rFonts w:ascii="Tahoma" w:hAnsi="Tahoma" w:cs="Tahoma"/>
          <w:b/>
          <w:bCs/>
        </w:rPr>
        <w:t>.</w:t>
      </w:r>
      <w:r w:rsidR="003D620D">
        <w:rPr>
          <w:rFonts w:ascii="Tahoma" w:hAnsi="Tahoma" w:cs="Tahoma"/>
          <w:b/>
          <w:bCs/>
        </w:rPr>
        <w:t>1</w:t>
      </w:r>
      <w:r w:rsidR="00811A25">
        <w:rPr>
          <w:rFonts w:ascii="Tahoma" w:hAnsi="Tahoma" w:cs="Tahoma"/>
          <w:b/>
          <w:bCs/>
        </w:rPr>
        <w:t>9</w:t>
      </w:r>
    </w:p>
    <w:p w14:paraId="19B52394" w14:textId="4FE5525A" w:rsidR="00200170" w:rsidRPr="00B673BB" w:rsidRDefault="000923D4" w:rsidP="000A73E2">
      <w:pPr>
        <w:rPr>
          <w:rFonts w:ascii="Tahoma" w:hAnsi="Tahoma" w:cs="Tahoma"/>
          <w:b/>
          <w:bCs/>
        </w:rPr>
      </w:pPr>
      <w:r w:rsidRPr="000923D4">
        <w:rPr>
          <w:rFonts w:ascii="Tahoma" w:hAnsi="Tahoma" w:cs="Tahoma"/>
          <w:b/>
          <w:bCs/>
        </w:rPr>
        <w:t xml:space="preserve">Usługa konfiguracji </w:t>
      </w:r>
      <w:r w:rsidR="00811A25">
        <w:rPr>
          <w:rFonts w:ascii="Tahoma" w:hAnsi="Tahoma" w:cs="Tahoma"/>
          <w:b/>
          <w:bCs/>
        </w:rPr>
        <w:t>urządzeń sieciowych na oczyszczalni</w:t>
      </w:r>
    </w:p>
    <w:tbl>
      <w:tblPr>
        <w:tblStyle w:val="Tabela-Siatka"/>
        <w:tblW w:w="9628" w:type="dxa"/>
        <w:tblLook w:val="04A0" w:firstRow="1" w:lastRow="0" w:firstColumn="1" w:lastColumn="0" w:noHBand="0" w:noVBand="1"/>
      </w:tblPr>
      <w:tblGrid>
        <w:gridCol w:w="900"/>
        <w:gridCol w:w="2001"/>
        <w:gridCol w:w="6727"/>
      </w:tblGrid>
      <w:tr w:rsidR="000923D4" w:rsidRPr="000923D4" w14:paraId="58315EFB" w14:textId="77777777" w:rsidTr="4B98E30B">
        <w:tc>
          <w:tcPr>
            <w:tcW w:w="900" w:type="dxa"/>
            <w:vAlign w:val="center"/>
            <w:hideMark/>
          </w:tcPr>
          <w:p w14:paraId="13B60617" w14:textId="77777777" w:rsidR="000923D4" w:rsidRPr="000923D4" w:rsidRDefault="000923D4" w:rsidP="00146FCE">
            <w:pPr>
              <w:jc w:val="center"/>
              <w:rPr>
                <w:rFonts w:ascii="Tahoma" w:hAnsi="Tahoma" w:cs="Tahoma"/>
                <w:b/>
                <w:bCs/>
              </w:rPr>
            </w:pPr>
            <w:r w:rsidRPr="000923D4">
              <w:rPr>
                <w:rFonts w:ascii="Tahoma" w:hAnsi="Tahoma" w:cs="Tahoma"/>
                <w:b/>
                <w:bCs/>
              </w:rPr>
              <w:t>L.p.</w:t>
            </w:r>
          </w:p>
        </w:tc>
        <w:tc>
          <w:tcPr>
            <w:tcW w:w="2001" w:type="dxa"/>
            <w:vAlign w:val="center"/>
            <w:hideMark/>
          </w:tcPr>
          <w:p w14:paraId="491449A4" w14:textId="77777777" w:rsidR="000923D4" w:rsidRPr="000923D4" w:rsidRDefault="000923D4" w:rsidP="00146FCE">
            <w:pPr>
              <w:jc w:val="center"/>
              <w:rPr>
                <w:rFonts w:ascii="Tahoma" w:hAnsi="Tahoma" w:cs="Tahoma"/>
                <w:b/>
                <w:bCs/>
              </w:rPr>
            </w:pPr>
            <w:r w:rsidRPr="000923D4">
              <w:rPr>
                <w:rFonts w:ascii="Tahoma" w:hAnsi="Tahoma" w:cs="Tahoma"/>
                <w:b/>
                <w:bCs/>
              </w:rPr>
              <w:t>Parametr</w:t>
            </w:r>
          </w:p>
        </w:tc>
        <w:tc>
          <w:tcPr>
            <w:tcW w:w="6727" w:type="dxa"/>
            <w:hideMark/>
          </w:tcPr>
          <w:p w14:paraId="2A59F5A4" w14:textId="77777777" w:rsidR="000923D4" w:rsidRPr="000923D4" w:rsidRDefault="000923D4" w:rsidP="00146FCE">
            <w:pPr>
              <w:jc w:val="center"/>
              <w:rPr>
                <w:rFonts w:ascii="Tahoma" w:hAnsi="Tahoma" w:cs="Tahoma"/>
                <w:b/>
                <w:bCs/>
              </w:rPr>
            </w:pPr>
            <w:r w:rsidRPr="000923D4">
              <w:rPr>
                <w:rFonts w:ascii="Tahoma" w:hAnsi="Tahoma" w:cs="Tahoma"/>
                <w:b/>
                <w:bCs/>
              </w:rPr>
              <w:t>Wymagania minimalne</w:t>
            </w:r>
          </w:p>
        </w:tc>
      </w:tr>
      <w:tr w:rsidR="000923D4" w:rsidRPr="000923D4" w14:paraId="399212E9" w14:textId="77777777" w:rsidTr="4B98E30B">
        <w:tc>
          <w:tcPr>
            <w:tcW w:w="900" w:type="dxa"/>
            <w:vAlign w:val="center"/>
            <w:hideMark/>
          </w:tcPr>
          <w:p w14:paraId="7915AB2E" w14:textId="77777777" w:rsidR="000923D4" w:rsidRPr="000923D4" w:rsidRDefault="000923D4" w:rsidP="00146FCE">
            <w:pPr>
              <w:rPr>
                <w:rFonts w:ascii="Tahoma" w:hAnsi="Tahoma" w:cs="Tahoma"/>
              </w:rPr>
            </w:pPr>
            <w:r w:rsidRPr="000923D4">
              <w:rPr>
                <w:rFonts w:ascii="Tahoma" w:hAnsi="Tahoma" w:cs="Tahoma"/>
              </w:rPr>
              <w:t>1</w:t>
            </w:r>
          </w:p>
        </w:tc>
        <w:tc>
          <w:tcPr>
            <w:tcW w:w="2001" w:type="dxa"/>
            <w:vAlign w:val="center"/>
            <w:hideMark/>
          </w:tcPr>
          <w:p w14:paraId="4F550869" w14:textId="77777777" w:rsidR="000923D4" w:rsidRPr="000923D4" w:rsidRDefault="000923D4" w:rsidP="00146FCE">
            <w:pPr>
              <w:rPr>
                <w:rFonts w:ascii="Tahoma" w:hAnsi="Tahoma" w:cs="Tahoma"/>
              </w:rPr>
            </w:pPr>
            <w:r w:rsidRPr="000923D4">
              <w:rPr>
                <w:rFonts w:ascii="Tahoma" w:hAnsi="Tahoma" w:cs="Tahoma"/>
              </w:rPr>
              <w:t>Przedmiot zamówienia</w:t>
            </w:r>
          </w:p>
        </w:tc>
        <w:tc>
          <w:tcPr>
            <w:tcW w:w="6727" w:type="dxa"/>
            <w:hideMark/>
          </w:tcPr>
          <w:p w14:paraId="08D55AD5" w14:textId="77777777" w:rsidR="00F35DA7" w:rsidRDefault="00F35DA7" w:rsidP="4B98E30B">
            <w:pPr>
              <w:spacing w:line="276" w:lineRule="auto"/>
              <w:jc w:val="both"/>
              <w:rPr>
                <w:rFonts w:ascii="Tahoma" w:hAnsi="Tahoma" w:cs="Tahoma"/>
              </w:rPr>
            </w:pPr>
            <w:r w:rsidRPr="00F35DA7">
              <w:rPr>
                <w:rFonts w:ascii="Tahoma" w:hAnsi="Tahoma" w:cs="Tahoma"/>
              </w:rPr>
              <w:t>Przedmiotem zamówienia jest wykonanie usługi instalacji, konfiguracji, uruchomienia oraz sprawdzenia poprawności działania urządzeń sieciowych dostarczonych w ramach niniejszego zamówienia, obejmujących co najmniej zarządzalny przełącznik sieciowy oraz urządzenie klasy NGFW przeznaczone do pracy w lokalizacji oczyszczalni, w środowisku infrastruktury przemysłowej, infrastruktury OT oraz systemów automatyki Zamawiającego.</w:t>
            </w:r>
          </w:p>
          <w:p w14:paraId="6E4DADA8" w14:textId="436C5D11" w:rsidR="000923D4" w:rsidRPr="000923D4" w:rsidRDefault="00F35DA7" w:rsidP="4B98E30B">
            <w:pPr>
              <w:spacing w:line="276" w:lineRule="auto"/>
              <w:jc w:val="both"/>
              <w:rPr>
                <w:rFonts w:ascii="Tahoma" w:hAnsi="Tahoma" w:cs="Tahoma"/>
              </w:rPr>
            </w:pPr>
            <w:r w:rsidRPr="00F35DA7">
              <w:rPr>
                <w:rFonts w:ascii="Tahoma" w:hAnsi="Tahoma" w:cs="Tahoma"/>
              </w:rPr>
              <w:t>Usługa musi obejmować w szczególności:</w:t>
            </w:r>
            <w:r w:rsidRPr="00F35DA7">
              <w:rPr>
                <w:rFonts w:ascii="Tahoma" w:hAnsi="Tahoma" w:cs="Tahoma"/>
              </w:rPr>
              <w:br/>
              <w:t>a) montaż urządzeń w docelowych lokalizacjach, jeżeli montaż jest wymagany dla danego urządzenia,</w:t>
            </w:r>
            <w:r w:rsidRPr="00F35DA7">
              <w:rPr>
                <w:rFonts w:ascii="Tahoma" w:hAnsi="Tahoma" w:cs="Tahoma"/>
              </w:rPr>
              <w:br/>
              <w:t>b) wykonanie niezbędnych podłączeń zasilających i sieciowych,</w:t>
            </w:r>
            <w:r w:rsidRPr="00F35DA7">
              <w:rPr>
                <w:rFonts w:ascii="Tahoma" w:hAnsi="Tahoma" w:cs="Tahoma"/>
              </w:rPr>
              <w:br/>
              <w:t>c) konfigurację zarządzalnego przełącznika sieciowego na potrzeby pracy w środowisku OT,</w:t>
            </w:r>
            <w:r w:rsidRPr="00F35DA7">
              <w:rPr>
                <w:rFonts w:ascii="Tahoma" w:hAnsi="Tahoma" w:cs="Tahoma"/>
              </w:rPr>
              <w:br/>
              <w:t>d) konfigurację urządzenia NGFW na potrzeby ochrony, segmentacji i kontroli komunikacji w lokalizacji oczyszczalni,</w:t>
            </w:r>
            <w:r w:rsidRPr="00F35DA7">
              <w:rPr>
                <w:rFonts w:ascii="Tahoma" w:hAnsi="Tahoma" w:cs="Tahoma"/>
              </w:rPr>
              <w:br/>
              <w:t>e) konfigurację podstawowych i wymaganych funkcji zarządzania oraz bezpieczeństwa zgodnie z właściwościami dostarczonych urządzeń, wymaganiami dostarczonych sond, stacji przesiadkowej, serwera HA, NAS do backupu logów i konfiguracji OT oraz elementów automatyki,</w:t>
            </w:r>
            <w:r w:rsidRPr="00F35DA7">
              <w:rPr>
                <w:rFonts w:ascii="Tahoma" w:hAnsi="Tahoma" w:cs="Tahoma"/>
              </w:rPr>
              <w:br/>
              <w:t>f) uruchomienie urządzeń w środowisku eksploatacyjnym,</w:t>
            </w:r>
            <w:r w:rsidRPr="00F35DA7">
              <w:rPr>
                <w:rFonts w:ascii="Tahoma" w:hAnsi="Tahoma" w:cs="Tahoma"/>
              </w:rPr>
              <w:br/>
              <w:t>g) przeprowadzenie testów funkcjonalnych i komunikacyjnych,</w:t>
            </w:r>
            <w:r w:rsidRPr="00F35DA7">
              <w:rPr>
                <w:rFonts w:ascii="Tahoma" w:hAnsi="Tahoma" w:cs="Tahoma"/>
              </w:rPr>
              <w:br/>
              <w:t>h) opracowanie dokumentacji powdrożeniowej,</w:t>
            </w:r>
            <w:r w:rsidRPr="00F35DA7">
              <w:rPr>
                <w:rFonts w:ascii="Tahoma" w:hAnsi="Tahoma" w:cs="Tahoma"/>
              </w:rPr>
              <w:br/>
              <w:t>i) przekazanie rozwiązania do eksploatacji.</w:t>
            </w:r>
          </w:p>
          <w:p w14:paraId="0C307200" w14:textId="56CD389A" w:rsidR="000923D4" w:rsidRPr="000923D4" w:rsidRDefault="00F35DA7" w:rsidP="4B98E30B">
            <w:pPr>
              <w:spacing w:line="276" w:lineRule="auto"/>
              <w:jc w:val="both"/>
            </w:pPr>
            <w:r w:rsidRPr="00F35DA7">
              <w:rPr>
                <w:rFonts w:ascii="Tahoma" w:eastAsia="Tahoma" w:hAnsi="Tahoma" w:cs="Tahoma"/>
              </w:rPr>
              <w:lastRenderedPageBreak/>
              <w:t>Wykonawca zobowiązany jest do realizacji usługi w sposób zapewniający osiągnięcie przez urządzenia sieciowe objęte zamówieniem, w tym zarządzalny przełącznik sieciowy oraz urządzenie NGFW, gotowości eksploatacyjnej w środowisku OT Zamawiającego. Przez gotowość eksploatacyjną należy rozumieć poprawne działanie urządzeń, komunikacji sieciowej, mechanizmów zarządzania, funkcji bezpieczeństwa, segmentacji, reguł firewall, routingu, NAT, VPN, logowania oraz mechanizmów wymaganych dla pracy infrastruktury technologicznej i systemów automatyki.</w:t>
            </w:r>
          </w:p>
        </w:tc>
      </w:tr>
      <w:tr w:rsidR="000923D4" w:rsidRPr="000923D4" w14:paraId="2023D646" w14:textId="77777777" w:rsidTr="4B98E30B">
        <w:tc>
          <w:tcPr>
            <w:tcW w:w="900" w:type="dxa"/>
            <w:vAlign w:val="center"/>
            <w:hideMark/>
          </w:tcPr>
          <w:p w14:paraId="33EC553A" w14:textId="77777777" w:rsidR="000923D4" w:rsidRPr="000923D4" w:rsidRDefault="000923D4" w:rsidP="00146FCE">
            <w:pPr>
              <w:rPr>
                <w:rFonts w:ascii="Tahoma" w:hAnsi="Tahoma" w:cs="Tahoma"/>
              </w:rPr>
            </w:pPr>
            <w:r w:rsidRPr="000923D4">
              <w:rPr>
                <w:rFonts w:ascii="Tahoma" w:hAnsi="Tahoma" w:cs="Tahoma"/>
              </w:rPr>
              <w:lastRenderedPageBreak/>
              <w:t>2</w:t>
            </w:r>
          </w:p>
        </w:tc>
        <w:tc>
          <w:tcPr>
            <w:tcW w:w="2001" w:type="dxa"/>
            <w:vAlign w:val="center"/>
            <w:hideMark/>
          </w:tcPr>
          <w:p w14:paraId="0C8E7115" w14:textId="77777777" w:rsidR="000923D4" w:rsidRPr="000923D4" w:rsidRDefault="000923D4" w:rsidP="00146FCE">
            <w:pPr>
              <w:rPr>
                <w:rFonts w:ascii="Tahoma" w:hAnsi="Tahoma" w:cs="Tahoma"/>
              </w:rPr>
            </w:pPr>
            <w:r w:rsidRPr="000923D4">
              <w:rPr>
                <w:rFonts w:ascii="Tahoma" w:hAnsi="Tahoma" w:cs="Tahoma"/>
              </w:rPr>
              <w:t>Liczba urządzeń objętych konfiguracją</w:t>
            </w:r>
          </w:p>
        </w:tc>
        <w:tc>
          <w:tcPr>
            <w:tcW w:w="6727" w:type="dxa"/>
            <w:hideMark/>
          </w:tcPr>
          <w:p w14:paraId="4F94F264" w14:textId="4214E205" w:rsidR="000923D4" w:rsidRPr="000923D4" w:rsidRDefault="00F35DA7" w:rsidP="52A53500">
            <w:pPr>
              <w:spacing w:line="276" w:lineRule="auto"/>
              <w:jc w:val="both"/>
              <w:rPr>
                <w:rFonts w:ascii="Tahoma" w:hAnsi="Tahoma" w:cs="Tahoma"/>
              </w:rPr>
            </w:pPr>
            <w:r w:rsidRPr="00F35DA7">
              <w:rPr>
                <w:rFonts w:ascii="Tahoma" w:hAnsi="Tahoma" w:cs="Tahoma"/>
              </w:rPr>
              <w:t>Usługa musi obejmować instalację, konfigurację i uruchomienie urządzeń sieciowych dostarczonych w ramach niniejszego postępowania, obejmujących co najmniej:</w:t>
            </w:r>
            <w:r w:rsidRPr="00F35DA7">
              <w:rPr>
                <w:rFonts w:ascii="Tahoma" w:hAnsi="Tahoma" w:cs="Tahoma"/>
              </w:rPr>
              <w:br/>
              <w:t>a) zarządzalny przełącznik sieciowy na potrzeby oczyszczalni,</w:t>
            </w:r>
            <w:r w:rsidRPr="00F35DA7">
              <w:rPr>
                <w:rFonts w:ascii="Tahoma" w:hAnsi="Tahoma" w:cs="Tahoma"/>
              </w:rPr>
              <w:br/>
              <w:t>b) urządzenie klasy NGFW na potrzeby ochrony infrastruktury OT oczyszczalni.</w:t>
            </w:r>
          </w:p>
        </w:tc>
      </w:tr>
      <w:tr w:rsidR="000923D4" w:rsidRPr="000923D4" w14:paraId="060DACA9" w14:textId="77777777" w:rsidTr="4B98E30B">
        <w:tc>
          <w:tcPr>
            <w:tcW w:w="900" w:type="dxa"/>
            <w:vAlign w:val="center"/>
            <w:hideMark/>
          </w:tcPr>
          <w:p w14:paraId="19DFFD25" w14:textId="77777777" w:rsidR="000923D4" w:rsidRPr="000923D4" w:rsidRDefault="000923D4" w:rsidP="00146FCE">
            <w:pPr>
              <w:rPr>
                <w:rFonts w:ascii="Tahoma" w:hAnsi="Tahoma" w:cs="Tahoma"/>
              </w:rPr>
            </w:pPr>
            <w:r w:rsidRPr="000923D4">
              <w:rPr>
                <w:rFonts w:ascii="Tahoma" w:hAnsi="Tahoma" w:cs="Tahoma"/>
              </w:rPr>
              <w:t>3</w:t>
            </w:r>
          </w:p>
        </w:tc>
        <w:tc>
          <w:tcPr>
            <w:tcW w:w="2001" w:type="dxa"/>
            <w:vAlign w:val="center"/>
            <w:hideMark/>
          </w:tcPr>
          <w:p w14:paraId="40FF3362" w14:textId="77777777" w:rsidR="000923D4" w:rsidRPr="000923D4" w:rsidRDefault="000923D4" w:rsidP="00146FCE">
            <w:pPr>
              <w:rPr>
                <w:rFonts w:ascii="Tahoma" w:hAnsi="Tahoma" w:cs="Tahoma"/>
              </w:rPr>
            </w:pPr>
            <w:r w:rsidRPr="52A53500">
              <w:rPr>
                <w:rFonts w:ascii="Tahoma" w:hAnsi="Tahoma" w:cs="Tahoma"/>
              </w:rPr>
              <w:t>Lokalizacje wdrożenia</w:t>
            </w:r>
          </w:p>
        </w:tc>
        <w:tc>
          <w:tcPr>
            <w:tcW w:w="6727" w:type="dxa"/>
            <w:hideMark/>
          </w:tcPr>
          <w:p w14:paraId="3BCA112F" w14:textId="148FC69B" w:rsidR="000923D4" w:rsidRPr="00B351C5" w:rsidRDefault="00F35DA7" w:rsidP="52A53500">
            <w:pPr>
              <w:spacing w:line="276" w:lineRule="auto"/>
              <w:jc w:val="both"/>
              <w:rPr>
                <w:rFonts w:ascii="Tahoma" w:hAnsi="Tahoma" w:cs="Tahoma"/>
              </w:rPr>
            </w:pPr>
            <w:r w:rsidRPr="00F35DA7">
              <w:rPr>
                <w:rFonts w:ascii="Tahoma" w:hAnsi="Tahoma" w:cs="Tahoma"/>
              </w:rPr>
              <w:t>Instalacja, konfiguracja, uruchomienie oraz sprawdzenie poprawności działania zarządzalnego przełącznika sieciowego oraz urządzenia NGFW musi zostać wykonane w lokalizacji infrastruktury OT Zamawiającego, zgodnie z załącznikiem „Zestawienie sterowników” oraz z przyjętą architekturą sieciową oczyszczalni.</w:t>
            </w:r>
          </w:p>
          <w:p w14:paraId="65F31F48" w14:textId="770C9DC2" w:rsidR="00B351C5" w:rsidRPr="00B351C5" w:rsidRDefault="00B351C5" w:rsidP="00B351C5">
            <w:pPr>
              <w:spacing w:line="276" w:lineRule="auto"/>
              <w:jc w:val="both"/>
              <w:rPr>
                <w:rFonts w:ascii="Tahoma" w:hAnsi="Tahoma" w:cs="Tahoma"/>
              </w:rPr>
            </w:pPr>
            <w:r w:rsidRPr="00B351C5">
              <w:rPr>
                <w:rFonts w:ascii="Tahoma" w:hAnsi="Tahoma" w:cs="Tahoma"/>
              </w:rPr>
              <w:t>Wykonawca zobowiązany jest wykonać usługę w lokalizacjach wskazanych w załączniku, z uwzględnieniem rzeczywistych warunków technicznych występujących w danym obiekcie, w szczególności dostępności szaf sterowniczych, teleinformatycznych, zasilania oraz istniejącej infrastruktury sieciowej i automatyki.</w:t>
            </w:r>
          </w:p>
          <w:p w14:paraId="19630042" w14:textId="3A0D02CE" w:rsidR="00B351C5" w:rsidRPr="000923D4" w:rsidRDefault="00B351C5" w:rsidP="00B351C5">
            <w:pPr>
              <w:spacing w:line="276" w:lineRule="auto"/>
              <w:jc w:val="both"/>
              <w:rPr>
                <w:rFonts w:ascii="Tahoma" w:hAnsi="Tahoma" w:cs="Tahoma"/>
              </w:rPr>
            </w:pPr>
            <w:r w:rsidRPr="00B351C5">
              <w:rPr>
                <w:rFonts w:ascii="Tahoma" w:hAnsi="Tahoma" w:cs="Tahoma"/>
              </w:rPr>
              <w:t xml:space="preserve">Przed rozpoczęciem prac Wykonawca uzgodni z Zamawiającym szczegółowy harmonogram oraz sposób realizacji prac w poszczególnych lokalizacjach, tak aby </w:t>
            </w:r>
            <w:r w:rsidRPr="00B351C5">
              <w:rPr>
                <w:rFonts w:ascii="Tahoma" w:hAnsi="Tahoma" w:cs="Tahoma"/>
              </w:rPr>
              <w:lastRenderedPageBreak/>
              <w:t>ograniczyć ryzyko zakłócenia działania infrastruktury technologicznej, systemów automatyki oraz komunikacji OT.</w:t>
            </w:r>
          </w:p>
        </w:tc>
      </w:tr>
      <w:tr w:rsidR="000923D4" w:rsidRPr="000923D4" w14:paraId="65AAB5D3" w14:textId="77777777" w:rsidTr="4B98E30B">
        <w:tc>
          <w:tcPr>
            <w:tcW w:w="900" w:type="dxa"/>
            <w:vAlign w:val="center"/>
            <w:hideMark/>
          </w:tcPr>
          <w:p w14:paraId="55A58A36" w14:textId="77777777" w:rsidR="000923D4" w:rsidRPr="000923D4" w:rsidRDefault="000923D4" w:rsidP="00146FCE">
            <w:pPr>
              <w:rPr>
                <w:rFonts w:ascii="Tahoma" w:hAnsi="Tahoma" w:cs="Tahoma"/>
              </w:rPr>
            </w:pPr>
            <w:r w:rsidRPr="000923D4">
              <w:rPr>
                <w:rFonts w:ascii="Tahoma" w:hAnsi="Tahoma" w:cs="Tahoma"/>
              </w:rPr>
              <w:lastRenderedPageBreak/>
              <w:t>4</w:t>
            </w:r>
          </w:p>
        </w:tc>
        <w:tc>
          <w:tcPr>
            <w:tcW w:w="2001" w:type="dxa"/>
            <w:vAlign w:val="center"/>
            <w:hideMark/>
          </w:tcPr>
          <w:p w14:paraId="4AB42A02" w14:textId="77777777" w:rsidR="000923D4" w:rsidRPr="000923D4" w:rsidRDefault="000923D4" w:rsidP="00146FCE">
            <w:pPr>
              <w:rPr>
                <w:rFonts w:ascii="Tahoma" w:hAnsi="Tahoma" w:cs="Tahoma"/>
              </w:rPr>
            </w:pPr>
            <w:r w:rsidRPr="000923D4">
              <w:rPr>
                <w:rFonts w:ascii="Tahoma" w:hAnsi="Tahoma" w:cs="Tahoma"/>
              </w:rPr>
              <w:t>Instalacja fizyczna urządzeń</w:t>
            </w:r>
          </w:p>
        </w:tc>
        <w:tc>
          <w:tcPr>
            <w:tcW w:w="6727" w:type="dxa"/>
            <w:hideMark/>
          </w:tcPr>
          <w:p w14:paraId="3112BFBF" w14:textId="77777777" w:rsidR="00F35DA7" w:rsidRDefault="00F35DA7" w:rsidP="52A53500">
            <w:pPr>
              <w:spacing w:line="276" w:lineRule="auto"/>
              <w:jc w:val="both"/>
              <w:rPr>
                <w:rFonts w:ascii="Tahoma" w:hAnsi="Tahoma" w:cs="Tahoma"/>
              </w:rPr>
            </w:pPr>
            <w:r w:rsidRPr="00F35DA7">
              <w:rPr>
                <w:rFonts w:ascii="Tahoma" w:hAnsi="Tahoma" w:cs="Tahoma"/>
              </w:rPr>
              <w:t>Wykonawca musi wykonać instalację zarządzalnego przełącznika sieciowego oraz urządzenia NGFW w szafach teleinformatycznych, sterowniczych albo w innych miejscach wskazanych przez Zamawiającego, zgodnie z dokumentacją producentów urządzeń, warunkami technicznymi lokalizacji oraz przyjętą architekturą sieci OT.</w:t>
            </w:r>
            <w:r w:rsidR="000923D4" w:rsidRPr="52A53500">
              <w:rPr>
                <w:rFonts w:ascii="Tahoma" w:hAnsi="Tahoma" w:cs="Tahoma"/>
              </w:rPr>
              <w:t xml:space="preserve"> </w:t>
            </w:r>
          </w:p>
          <w:p w14:paraId="7CBC7A3F" w14:textId="6AA3A88B" w:rsidR="000923D4" w:rsidRPr="000923D4" w:rsidRDefault="000923D4" w:rsidP="52A53500">
            <w:pPr>
              <w:spacing w:line="276" w:lineRule="auto"/>
              <w:jc w:val="both"/>
              <w:rPr>
                <w:rFonts w:ascii="Tahoma" w:hAnsi="Tahoma" w:cs="Tahoma"/>
              </w:rPr>
            </w:pPr>
            <w:r w:rsidRPr="52A53500">
              <w:rPr>
                <w:rFonts w:ascii="Tahoma" w:hAnsi="Tahoma" w:cs="Tahoma"/>
              </w:rPr>
              <w:t>Zakres prac musi obejmować co najmniej:</w:t>
            </w:r>
            <w:r>
              <w:br/>
            </w:r>
            <w:r w:rsidRPr="52A53500">
              <w:rPr>
                <w:rFonts w:ascii="Tahoma" w:hAnsi="Tahoma" w:cs="Tahoma"/>
              </w:rPr>
              <w:t>a) montaż urządzeń w szafach,</w:t>
            </w:r>
            <w:r>
              <w:br/>
            </w:r>
            <w:r w:rsidRPr="52A53500">
              <w:rPr>
                <w:rFonts w:ascii="Tahoma" w:hAnsi="Tahoma" w:cs="Tahoma"/>
              </w:rPr>
              <w:t>b) podłączenie zasilania,</w:t>
            </w:r>
            <w:r>
              <w:br/>
            </w:r>
            <w:r w:rsidRPr="52A53500">
              <w:rPr>
                <w:rFonts w:ascii="Tahoma" w:hAnsi="Tahoma" w:cs="Tahoma"/>
              </w:rPr>
              <w:t>c) podłączenie przewodów sieciowych,</w:t>
            </w:r>
            <w:r>
              <w:br/>
            </w:r>
            <w:r w:rsidRPr="52A53500">
              <w:rPr>
                <w:rFonts w:ascii="Tahoma" w:hAnsi="Tahoma" w:cs="Tahoma"/>
              </w:rPr>
              <w:t>d) weryfikację poprawności zestawienia połączeń fizycznych,</w:t>
            </w:r>
            <w:r>
              <w:br/>
            </w:r>
            <w:r w:rsidRPr="52A53500">
              <w:rPr>
                <w:rFonts w:ascii="Tahoma" w:hAnsi="Tahoma" w:cs="Tahoma"/>
              </w:rPr>
              <w:t xml:space="preserve">e) </w:t>
            </w:r>
            <w:r w:rsidR="00F35DA7" w:rsidRPr="00F35DA7">
              <w:rPr>
                <w:rFonts w:ascii="Tahoma" w:hAnsi="Tahoma" w:cs="Tahoma"/>
              </w:rPr>
              <w:t>uporządkowanie i oznaczenie połączeń w zakresie niezbędnym do prawidłowej eksploatacji, w tym oznaczenie połączeń pomiędzy przełącznikiem, NGFW, sondami sprzętowymi, stacją przesiadkową, serwerem HA, NAS do backupu logów i konfiguracji OT oraz innymi elementami infrastruktury OT, jeżeli połączenia te są wykonywane w ramach niniejszej usługi</w:t>
            </w:r>
            <w:r w:rsidRPr="52A53500">
              <w:rPr>
                <w:rFonts w:ascii="Tahoma" w:hAnsi="Tahoma" w:cs="Tahoma"/>
              </w:rPr>
              <w:t>.</w:t>
            </w:r>
          </w:p>
        </w:tc>
      </w:tr>
      <w:tr w:rsidR="000923D4" w:rsidRPr="000923D4" w14:paraId="5CFF8DA4" w14:textId="77777777" w:rsidTr="4B98E30B">
        <w:tc>
          <w:tcPr>
            <w:tcW w:w="900" w:type="dxa"/>
            <w:vAlign w:val="center"/>
            <w:hideMark/>
          </w:tcPr>
          <w:p w14:paraId="610E5211" w14:textId="77777777" w:rsidR="000923D4" w:rsidRPr="000923D4" w:rsidRDefault="000923D4" w:rsidP="00146FCE">
            <w:pPr>
              <w:rPr>
                <w:rFonts w:ascii="Tahoma" w:hAnsi="Tahoma" w:cs="Tahoma"/>
              </w:rPr>
            </w:pPr>
            <w:r w:rsidRPr="000923D4">
              <w:rPr>
                <w:rFonts w:ascii="Tahoma" w:hAnsi="Tahoma" w:cs="Tahoma"/>
              </w:rPr>
              <w:t>5</w:t>
            </w:r>
          </w:p>
        </w:tc>
        <w:tc>
          <w:tcPr>
            <w:tcW w:w="2001" w:type="dxa"/>
            <w:vAlign w:val="center"/>
            <w:hideMark/>
          </w:tcPr>
          <w:p w14:paraId="7D6F3E06" w14:textId="77777777" w:rsidR="000923D4" w:rsidRPr="000923D4" w:rsidRDefault="000923D4" w:rsidP="00146FCE">
            <w:pPr>
              <w:rPr>
                <w:rFonts w:ascii="Tahoma" w:hAnsi="Tahoma" w:cs="Tahoma"/>
              </w:rPr>
            </w:pPr>
            <w:r w:rsidRPr="000923D4">
              <w:rPr>
                <w:rFonts w:ascii="Tahoma" w:hAnsi="Tahoma" w:cs="Tahoma"/>
              </w:rPr>
              <w:t>Wstępna konfiguracja urządzeń</w:t>
            </w:r>
          </w:p>
        </w:tc>
        <w:tc>
          <w:tcPr>
            <w:tcW w:w="6727" w:type="dxa"/>
            <w:hideMark/>
          </w:tcPr>
          <w:p w14:paraId="729ECDE5" w14:textId="77777777" w:rsidR="00F35DA7" w:rsidRPr="00F35DA7" w:rsidRDefault="00F35DA7" w:rsidP="00F35DA7">
            <w:pPr>
              <w:spacing w:line="276" w:lineRule="auto"/>
              <w:jc w:val="both"/>
              <w:rPr>
                <w:rFonts w:ascii="Tahoma" w:hAnsi="Tahoma" w:cs="Tahoma"/>
              </w:rPr>
            </w:pPr>
            <w:r w:rsidRPr="00F35DA7">
              <w:rPr>
                <w:rFonts w:ascii="Tahoma" w:hAnsi="Tahoma" w:cs="Tahoma"/>
              </w:rPr>
              <w:t>Wykonawca musi wykonać konfigurację zarządzalnego przełącznika sieciowego oraz urządzenia NGFW, obejmującą co najmniej:</w:t>
            </w:r>
          </w:p>
          <w:p w14:paraId="2FAB62F1" w14:textId="294190A9" w:rsidR="000923D4" w:rsidRPr="000923D4" w:rsidRDefault="00F35DA7" w:rsidP="4B98E30B">
            <w:pPr>
              <w:spacing w:line="276" w:lineRule="auto"/>
              <w:jc w:val="both"/>
              <w:rPr>
                <w:rFonts w:ascii="Tahoma" w:hAnsi="Tahoma" w:cs="Tahoma"/>
              </w:rPr>
            </w:pPr>
            <w:r w:rsidRPr="00F35DA7">
              <w:rPr>
                <w:rFonts w:ascii="Tahoma" w:hAnsi="Tahoma" w:cs="Tahoma"/>
              </w:rPr>
              <w:t>a) nadanie adresacji zarządzającej urządzeniom,</w:t>
            </w:r>
            <w:r w:rsidRPr="00F35DA7">
              <w:rPr>
                <w:rFonts w:ascii="Tahoma" w:hAnsi="Tahoma" w:cs="Tahoma"/>
              </w:rPr>
              <w:br/>
              <w:t>b) konfigurację parametrów dostępu administracyjnego,</w:t>
            </w:r>
            <w:r w:rsidRPr="00F35DA7">
              <w:rPr>
                <w:rFonts w:ascii="Tahoma" w:hAnsi="Tahoma" w:cs="Tahoma"/>
              </w:rPr>
              <w:br/>
              <w:t>c) zmianę domyślnych danych dostępowych,</w:t>
            </w:r>
            <w:r w:rsidRPr="00F35DA7">
              <w:rPr>
                <w:rFonts w:ascii="Tahoma" w:hAnsi="Tahoma" w:cs="Tahoma"/>
              </w:rPr>
              <w:br/>
              <w:t>d) konfigurację podstawowych parametrów pracy portów i interfejsów,</w:t>
            </w:r>
            <w:r w:rsidRPr="00F35DA7">
              <w:rPr>
                <w:rFonts w:ascii="Tahoma" w:hAnsi="Tahoma" w:cs="Tahoma"/>
              </w:rPr>
              <w:br/>
              <w:t>e) konfigurację funkcji sieciowych wymaganych dla pracy w środowisku OT Zamawiającego, w szczególności w zakresie segmentacji ruchu, VLAN, stref bezpieczeństwa, routingu, NAT, reguł firewall oraz bezpiecznego dostępu administracyjnego,</w:t>
            </w:r>
            <w:r w:rsidRPr="00F35DA7">
              <w:rPr>
                <w:rFonts w:ascii="Tahoma" w:hAnsi="Tahoma" w:cs="Tahoma"/>
              </w:rPr>
              <w:br/>
            </w:r>
            <w:r w:rsidRPr="00F35DA7">
              <w:rPr>
                <w:rFonts w:ascii="Tahoma" w:hAnsi="Tahoma" w:cs="Tahoma"/>
              </w:rPr>
              <w:lastRenderedPageBreak/>
              <w:t>f) konfigurację urządzenia NGFW w zakresie wymaganym do ochrony i kontroli komunikacji pomiędzy segmentami infrastruktury OT, w szczególności segmentem urządzeń automatyki, segmentem sond sprzętowych, segmentem stacji przesiadkowej, segmentem serwera HA, segmentem NAS do backupu logów i konfiguracji OT, segmentem administracyjnym oraz połączeniami z innymi lokalizacjami Zamawiającego, jeżeli takie połączenia występują,</w:t>
            </w:r>
            <w:r w:rsidRPr="00F35DA7">
              <w:rPr>
                <w:rFonts w:ascii="Tahoma" w:hAnsi="Tahoma" w:cs="Tahoma"/>
              </w:rPr>
              <w:br/>
              <w:t>g) konfigurację połączeń VPN, jeżeli są wymagane do komunikacji pomiędzy oczyszczalnią a innymi lokalizacjami Zamawiającego,</w:t>
            </w:r>
            <w:r w:rsidRPr="00F35DA7">
              <w:rPr>
                <w:rFonts w:ascii="Tahoma" w:hAnsi="Tahoma" w:cs="Tahoma"/>
              </w:rPr>
              <w:br/>
              <w:t>h) konfigurację zasad logowania zdarzeń, eksportu logów oraz eksportu lub wykonania kopii konfiguracji NGFW, w szczególności na potrzeby przekazywania logów lub kopii konfiguracji do NAS do backupu logów i konfiguracji OT, jeżeli taki sposób zostanie przewidziany w projekcie wdrożenia,</w:t>
            </w:r>
            <w:r w:rsidRPr="00F35DA7">
              <w:rPr>
                <w:rFonts w:ascii="Tahoma" w:hAnsi="Tahoma" w:cs="Tahoma"/>
              </w:rPr>
              <w:br/>
              <w:t>i) wyłączenie lub ograniczenie zbędnych usług administracyjnych, jeżeli nie są wymagane do eksploatacji,</w:t>
            </w:r>
            <w:r w:rsidRPr="00F35DA7">
              <w:rPr>
                <w:rFonts w:ascii="Tahoma" w:hAnsi="Tahoma" w:cs="Tahoma"/>
              </w:rPr>
              <w:br/>
              <w:t>j) przygotowanie urządzeń do pracy w sieci OT Zamawiającego,</w:t>
            </w:r>
            <w:r w:rsidRPr="00F35DA7">
              <w:rPr>
                <w:rFonts w:ascii="Tahoma" w:hAnsi="Tahoma" w:cs="Tahoma"/>
              </w:rPr>
              <w:br/>
              <w:t>k) zapisanie i zabezpieczenie konfiguracji urządzeń w sposób umożliwiający jej odtworzenie po restarcie, awarii albo wymianie urządzenia.</w:t>
            </w:r>
          </w:p>
        </w:tc>
      </w:tr>
      <w:tr w:rsidR="00F35DA7" w:rsidRPr="000923D4" w14:paraId="784772D5" w14:textId="77777777" w:rsidTr="4B98E30B">
        <w:tc>
          <w:tcPr>
            <w:tcW w:w="900" w:type="dxa"/>
            <w:vAlign w:val="center"/>
          </w:tcPr>
          <w:p w14:paraId="679D4475" w14:textId="71CDA78E" w:rsidR="00F35DA7" w:rsidRPr="000923D4" w:rsidRDefault="00F35DA7" w:rsidP="00146FCE">
            <w:pPr>
              <w:rPr>
                <w:rFonts w:ascii="Tahoma" w:hAnsi="Tahoma" w:cs="Tahoma"/>
              </w:rPr>
            </w:pPr>
            <w:r>
              <w:rPr>
                <w:rFonts w:ascii="Tahoma" w:hAnsi="Tahoma" w:cs="Tahoma"/>
              </w:rPr>
              <w:lastRenderedPageBreak/>
              <w:t>6</w:t>
            </w:r>
          </w:p>
        </w:tc>
        <w:tc>
          <w:tcPr>
            <w:tcW w:w="2001" w:type="dxa"/>
            <w:vAlign w:val="center"/>
          </w:tcPr>
          <w:p w14:paraId="17582375" w14:textId="3C646042" w:rsidR="00F35DA7" w:rsidRPr="000923D4" w:rsidRDefault="00F35DA7" w:rsidP="00146FCE">
            <w:pPr>
              <w:rPr>
                <w:rFonts w:ascii="Tahoma" w:hAnsi="Tahoma" w:cs="Tahoma"/>
              </w:rPr>
            </w:pPr>
            <w:r>
              <w:rPr>
                <w:rFonts w:ascii="Tahoma" w:hAnsi="Tahoma" w:cs="Tahoma"/>
              </w:rPr>
              <w:t>Z</w:t>
            </w:r>
            <w:r w:rsidRPr="00F35DA7">
              <w:rPr>
                <w:rFonts w:ascii="Tahoma" w:hAnsi="Tahoma" w:cs="Tahoma"/>
              </w:rPr>
              <w:t>akres konfiguracji NGFW</w:t>
            </w:r>
          </w:p>
        </w:tc>
        <w:tc>
          <w:tcPr>
            <w:tcW w:w="6727" w:type="dxa"/>
          </w:tcPr>
          <w:p w14:paraId="2AACC1BB" w14:textId="77777777" w:rsidR="00F35DA7" w:rsidRPr="00F35DA7" w:rsidRDefault="00F35DA7" w:rsidP="00F35DA7">
            <w:pPr>
              <w:spacing w:line="276" w:lineRule="auto"/>
              <w:jc w:val="both"/>
              <w:rPr>
                <w:rFonts w:ascii="Tahoma" w:hAnsi="Tahoma" w:cs="Tahoma"/>
              </w:rPr>
            </w:pPr>
            <w:r w:rsidRPr="00F35DA7">
              <w:rPr>
                <w:rFonts w:ascii="Tahoma" w:hAnsi="Tahoma" w:cs="Tahoma"/>
              </w:rPr>
              <w:t>W ramach konfiguracji urządzenia NGFW Wykonawca zobowiązany jest skonfigurować funkcje niezbędne do pracy urządzenia w środowisku OT oczyszczalni, zgodnie z OPZ dostawy NGFW, projektem wdrożenia oraz uzgodnieniami z Zamawiającym.</w:t>
            </w:r>
          </w:p>
          <w:p w14:paraId="4090F654" w14:textId="77777777" w:rsidR="00F35DA7" w:rsidRPr="00F35DA7" w:rsidRDefault="00F35DA7" w:rsidP="00F35DA7">
            <w:pPr>
              <w:spacing w:line="276" w:lineRule="auto"/>
              <w:jc w:val="both"/>
              <w:rPr>
                <w:rFonts w:ascii="Tahoma" w:hAnsi="Tahoma" w:cs="Tahoma"/>
              </w:rPr>
            </w:pPr>
            <w:r w:rsidRPr="00F35DA7">
              <w:rPr>
                <w:rFonts w:ascii="Tahoma" w:hAnsi="Tahoma" w:cs="Tahoma"/>
              </w:rPr>
              <w:t>Konfiguracja NGFW musi obejmować co najmniej:</w:t>
            </w:r>
          </w:p>
          <w:p w14:paraId="1446D4BA" w14:textId="77777777" w:rsidR="00F35DA7" w:rsidRPr="00F35DA7" w:rsidRDefault="00F35DA7" w:rsidP="00F35DA7">
            <w:pPr>
              <w:spacing w:line="276" w:lineRule="auto"/>
              <w:jc w:val="both"/>
              <w:rPr>
                <w:rFonts w:ascii="Tahoma" w:hAnsi="Tahoma" w:cs="Tahoma"/>
              </w:rPr>
            </w:pPr>
            <w:r w:rsidRPr="00F35DA7">
              <w:rPr>
                <w:rFonts w:ascii="Tahoma" w:hAnsi="Tahoma" w:cs="Tahoma"/>
              </w:rPr>
              <w:t>a) konfigurację trybu pracy urządzenia zgodnego z architekturą sieci OT, w szczególności trybu routingu/NAT albo trybu transparentnego, jeżeli taki tryb zostanie przyjęty w projekcie wdrożenia,</w:t>
            </w:r>
            <w:r w:rsidRPr="00F35DA7">
              <w:rPr>
                <w:rFonts w:ascii="Tahoma" w:hAnsi="Tahoma" w:cs="Tahoma"/>
              </w:rPr>
              <w:br/>
              <w:t>b) konfigurację interfejsów fizycznych i logicznych, w tym przypisanie ich do odpowiednich stref bezpieczeństwa,</w:t>
            </w:r>
            <w:r w:rsidRPr="00F35DA7">
              <w:rPr>
                <w:rFonts w:ascii="Tahoma" w:hAnsi="Tahoma" w:cs="Tahoma"/>
              </w:rPr>
              <w:br/>
            </w:r>
            <w:r w:rsidRPr="00F35DA7">
              <w:rPr>
                <w:rFonts w:ascii="Tahoma" w:hAnsi="Tahoma" w:cs="Tahoma"/>
              </w:rPr>
              <w:lastRenderedPageBreak/>
              <w:t>c) konfigurację VLAN, jeżeli segmentacja VLAN jest wykorzystywana w architekturze oczyszczalni,</w:t>
            </w:r>
            <w:r w:rsidRPr="00F35DA7">
              <w:rPr>
                <w:rFonts w:ascii="Tahoma" w:hAnsi="Tahoma" w:cs="Tahoma"/>
              </w:rPr>
              <w:br/>
              <w:t>d) konfigurację adresacji IP, bram, routingu statycznego, NAT lub innych mechanizmów komunikacyjnych wymaganych dla pracy lokalizacji oczyszczalni,</w:t>
            </w:r>
            <w:r w:rsidRPr="00F35DA7">
              <w:rPr>
                <w:rFonts w:ascii="Tahoma" w:hAnsi="Tahoma" w:cs="Tahoma"/>
              </w:rPr>
              <w:br/>
              <w:t>e) konfigurację reguł firewall dla ruchu pomiędzy wydzielonymi segmentami OT, zgodnie z zasadą ograniczenia komunikacji do niezbędnego minimum,</w:t>
            </w:r>
            <w:r w:rsidRPr="00F35DA7">
              <w:rPr>
                <w:rFonts w:ascii="Tahoma" w:hAnsi="Tahoma" w:cs="Tahoma"/>
              </w:rPr>
              <w:br/>
              <w:t>f) konfigurację zasad komunikacji pomiędzy urządzeniami automatyki, sondami sprzętowymi, stacją przesiadkową, serwerem HA, systemem NAS do backupu logów i konfiguracji OT oraz innymi elementami infrastruktury wskazanymi przez Zamawiającego,</w:t>
            </w:r>
            <w:r w:rsidRPr="00F35DA7">
              <w:rPr>
                <w:rFonts w:ascii="Tahoma" w:hAnsi="Tahoma" w:cs="Tahoma"/>
              </w:rPr>
              <w:br/>
              <w:t>g) konfigurację bezpiecznego dostępu administracyjnego do urządzenia NGFW, w tym zmianę domyślnych haseł, utworzenie kont administracyjnych oraz ograniczenie dostępu administracyjnego do wskazanych adresów lub segmentów sieci,</w:t>
            </w:r>
            <w:r w:rsidRPr="00F35DA7">
              <w:rPr>
                <w:rFonts w:ascii="Tahoma" w:hAnsi="Tahoma" w:cs="Tahoma"/>
              </w:rPr>
              <w:br/>
              <w:t>h) konfigurację VPN, jeżeli urządzenie NGFW ma zapewniać bezpieczne połączenie pomiędzy lokalizacją oczyszczalni a innymi lokalizacjami Zamawiającego,</w:t>
            </w:r>
            <w:r w:rsidRPr="00F35DA7">
              <w:rPr>
                <w:rFonts w:ascii="Tahoma" w:hAnsi="Tahoma" w:cs="Tahoma"/>
              </w:rPr>
              <w:br/>
              <w:t>i) konfigurację logowania zdarzeń administracyjnych, bezpieczeństwa, systemowych oraz komunikacyjnych,</w:t>
            </w:r>
            <w:r w:rsidRPr="00F35DA7">
              <w:rPr>
                <w:rFonts w:ascii="Tahoma" w:hAnsi="Tahoma" w:cs="Tahoma"/>
              </w:rPr>
              <w:br/>
              <w:t>j) konfigurację przekazywania logów do zewnętrznego systemu lub repozytorium wskazanego przez Zamawiającego, w szczególności do NAS do backupu logów i konfiguracji OT, jeżeli taki sposób zostanie przewidziany w projekcie wdrożenia,</w:t>
            </w:r>
            <w:r w:rsidRPr="00F35DA7">
              <w:rPr>
                <w:rFonts w:ascii="Tahoma" w:hAnsi="Tahoma" w:cs="Tahoma"/>
              </w:rPr>
              <w:br/>
              <w:t>k) wykonanie i przekazanie Zamawiającemu kopii konfiguracji NGFW oraz opisanie procedury jej odtworzenia,</w:t>
            </w:r>
            <w:r w:rsidRPr="00F35DA7">
              <w:rPr>
                <w:rFonts w:ascii="Tahoma" w:hAnsi="Tahoma" w:cs="Tahoma"/>
              </w:rPr>
              <w:br/>
              <w:t>l) weryfikację, że zastosowane reguły i mechanizmy bezpieczeństwa nie powodują zakłócenia pracy systemów automatyki oraz infrastruktury technologicznej oczyszczalni.</w:t>
            </w:r>
          </w:p>
          <w:p w14:paraId="2B550903" w14:textId="5D0067F6" w:rsidR="00F35DA7" w:rsidRPr="00F35DA7" w:rsidRDefault="00F35DA7" w:rsidP="00F35DA7">
            <w:pPr>
              <w:spacing w:line="276" w:lineRule="auto"/>
              <w:jc w:val="both"/>
              <w:rPr>
                <w:rFonts w:ascii="Tahoma" w:hAnsi="Tahoma" w:cs="Tahoma"/>
              </w:rPr>
            </w:pPr>
            <w:r w:rsidRPr="00F35DA7">
              <w:rPr>
                <w:rFonts w:ascii="Tahoma" w:hAnsi="Tahoma" w:cs="Tahoma"/>
              </w:rPr>
              <w:t xml:space="preserve">Konfiguracja mechanizmów bezpieczeństwa NGFW, w szczególności IPS, kontroli aplikacji, filtrowania WWW, inspekcji SSL/TLS oraz ochrony przed malware, musi być wykonana w sposób ostrożny i dostosowany do środowiska OT. Wykonawca zobowiązany jest uwzględnić ciągłość </w:t>
            </w:r>
            <w:r w:rsidRPr="00F35DA7">
              <w:rPr>
                <w:rFonts w:ascii="Tahoma" w:hAnsi="Tahoma" w:cs="Tahoma"/>
              </w:rPr>
              <w:lastRenderedPageBreak/>
              <w:t>działania automatyki i możliwość zastosowania wyjątków, trybu monitorowania lub stopniowego wdrażania polityk bezpieczeństwa dla wybranych segmentów i przepływów ruchu.</w:t>
            </w:r>
          </w:p>
        </w:tc>
      </w:tr>
      <w:tr w:rsidR="00BE5E66" w:rsidRPr="000923D4" w14:paraId="78636386" w14:textId="77777777" w:rsidTr="4B98E30B">
        <w:tc>
          <w:tcPr>
            <w:tcW w:w="900" w:type="dxa"/>
            <w:vAlign w:val="center"/>
            <w:hideMark/>
          </w:tcPr>
          <w:p w14:paraId="58A59954" w14:textId="57EFD5A5" w:rsidR="00BE5E66" w:rsidRPr="000923D4" w:rsidRDefault="00BE5E66" w:rsidP="00146FCE">
            <w:pPr>
              <w:rPr>
                <w:rFonts w:ascii="Tahoma" w:hAnsi="Tahoma" w:cs="Tahoma"/>
              </w:rPr>
            </w:pPr>
            <w:r>
              <w:rPr>
                <w:rFonts w:ascii="Tahoma" w:hAnsi="Tahoma" w:cs="Tahoma"/>
              </w:rPr>
              <w:lastRenderedPageBreak/>
              <w:t>6</w:t>
            </w:r>
          </w:p>
        </w:tc>
        <w:tc>
          <w:tcPr>
            <w:tcW w:w="2001" w:type="dxa"/>
            <w:vAlign w:val="center"/>
            <w:hideMark/>
          </w:tcPr>
          <w:p w14:paraId="63F80487" w14:textId="77777777" w:rsidR="00BE5E66" w:rsidRPr="000923D4" w:rsidRDefault="00BE5E66" w:rsidP="00146FCE">
            <w:pPr>
              <w:rPr>
                <w:rFonts w:ascii="Tahoma" w:hAnsi="Tahoma" w:cs="Tahoma"/>
              </w:rPr>
            </w:pPr>
            <w:r w:rsidRPr="000923D4">
              <w:rPr>
                <w:rFonts w:ascii="Tahoma" w:hAnsi="Tahoma" w:cs="Tahoma"/>
              </w:rPr>
              <w:t>Testy funkcjonalne</w:t>
            </w:r>
          </w:p>
        </w:tc>
        <w:tc>
          <w:tcPr>
            <w:tcW w:w="6727" w:type="dxa"/>
            <w:hideMark/>
          </w:tcPr>
          <w:p w14:paraId="4DD6E506" w14:textId="77777777" w:rsidR="00F35DA7" w:rsidRDefault="00F35DA7" w:rsidP="52A53500">
            <w:pPr>
              <w:spacing w:line="276" w:lineRule="auto"/>
              <w:jc w:val="both"/>
              <w:rPr>
                <w:rFonts w:ascii="Tahoma" w:hAnsi="Tahoma" w:cs="Tahoma"/>
              </w:rPr>
            </w:pPr>
            <w:r w:rsidRPr="00F35DA7">
              <w:rPr>
                <w:rFonts w:ascii="Tahoma" w:hAnsi="Tahoma" w:cs="Tahoma"/>
              </w:rPr>
              <w:t>Po zakończeniu instalacji i konfiguracji Wykonawca musi przeprowadzić testy funkcjonalne potwierdzające poprawność działania zarządzalnego przełącznika sieciowego oraz urządzenia NGFW w sieci OT Zamawiającego.</w:t>
            </w:r>
            <w:r w:rsidR="576182DA" w:rsidRPr="52A53500">
              <w:rPr>
                <w:rFonts w:ascii="Tahoma" w:hAnsi="Tahoma" w:cs="Tahoma"/>
              </w:rPr>
              <w:t xml:space="preserve"> </w:t>
            </w:r>
          </w:p>
          <w:p w14:paraId="3CD2A727" w14:textId="69A984CB" w:rsidR="00BE5E66" w:rsidRPr="000923D4" w:rsidRDefault="00504000" w:rsidP="52A53500">
            <w:pPr>
              <w:spacing w:line="276" w:lineRule="auto"/>
              <w:jc w:val="both"/>
              <w:rPr>
                <w:rFonts w:ascii="Tahoma" w:hAnsi="Tahoma" w:cs="Tahoma"/>
              </w:rPr>
            </w:pPr>
            <w:r w:rsidRPr="00504000">
              <w:rPr>
                <w:rFonts w:ascii="Tahoma" w:hAnsi="Tahoma" w:cs="Tahoma"/>
              </w:rPr>
              <w:t>Testy muszą obejmować co najmniej:</w:t>
            </w:r>
            <w:r w:rsidRPr="00504000">
              <w:rPr>
                <w:rFonts w:ascii="Tahoma" w:hAnsi="Tahoma" w:cs="Tahoma"/>
              </w:rPr>
              <w:br/>
              <w:t>a) weryfikację uruchomienia urządzeń,</w:t>
            </w:r>
            <w:r w:rsidRPr="00504000">
              <w:rPr>
                <w:rFonts w:ascii="Tahoma" w:hAnsi="Tahoma" w:cs="Tahoma"/>
              </w:rPr>
              <w:br/>
              <w:t>b) sprawdzenie poprawności zestawienia połączeń sieciowych,</w:t>
            </w:r>
            <w:r w:rsidRPr="00504000">
              <w:rPr>
                <w:rFonts w:ascii="Tahoma" w:hAnsi="Tahoma" w:cs="Tahoma"/>
              </w:rPr>
              <w:br/>
              <w:t>c) sprawdzenie dostępu administracyjnego do przełącznika i NGFW,</w:t>
            </w:r>
            <w:r w:rsidRPr="00504000">
              <w:rPr>
                <w:rFonts w:ascii="Tahoma" w:hAnsi="Tahoma" w:cs="Tahoma"/>
              </w:rPr>
              <w:br/>
              <w:t>d) potwierdzenie podstawowej komunikacji pomiędzy urządzeniami podłączonymi do przełącznika i NGFW, w zakresie wymaganym do pracy systemów automatyki i infrastruktury OT,</w:t>
            </w:r>
            <w:r w:rsidRPr="00504000">
              <w:rPr>
                <w:rFonts w:ascii="Tahoma" w:hAnsi="Tahoma" w:cs="Tahoma"/>
              </w:rPr>
              <w:br/>
              <w:t>e) potwierdzenie poprawności działania skonfigurowanych VLAN, stref bezpieczeństwa, routingu, NAT, reguł firewall i mechanizmów VPN, jeżeli zostały skonfigurowane,</w:t>
            </w:r>
            <w:r w:rsidRPr="00504000">
              <w:rPr>
                <w:rFonts w:ascii="Tahoma" w:hAnsi="Tahoma" w:cs="Tahoma"/>
              </w:rPr>
              <w:br/>
              <w:t>f) potwierdzenie możliwości komunikacji pomiędzy segmentami lub systemami dopuszczonymi w regułach NGFW,</w:t>
            </w:r>
            <w:r w:rsidRPr="00504000">
              <w:rPr>
                <w:rFonts w:ascii="Tahoma" w:hAnsi="Tahoma" w:cs="Tahoma"/>
              </w:rPr>
              <w:br/>
              <w:t>g) potwierdzenie blokowania lub ograniczenia komunikacji, która zgodnie z przyjętymi regułami bezpieczeństwa nie powinna być dozwolona,</w:t>
            </w:r>
            <w:r w:rsidRPr="00504000">
              <w:rPr>
                <w:rFonts w:ascii="Tahoma" w:hAnsi="Tahoma" w:cs="Tahoma"/>
              </w:rPr>
              <w:br/>
              <w:t>h) potwierdzenie działania logowania zdarzeń oraz, jeżeli przewidziano to w projekcie wdrożenia, przekazywania logów lub kopii konfiguracji do NAS do backupu logów i konfiguracji OT,</w:t>
            </w:r>
            <w:r w:rsidRPr="00504000">
              <w:rPr>
                <w:rFonts w:ascii="Tahoma" w:hAnsi="Tahoma" w:cs="Tahoma"/>
              </w:rPr>
              <w:br/>
              <w:t>i) potwierdzenie, że wdrożona konfiguracja nie zakłóca pracy infrastruktury technologicznej, systemów automatyki, sond sprzętowych, stacji przesiadkowej, serwera HA oraz systemu NAS OT w zakresie objętym wdrożeniem.</w:t>
            </w:r>
          </w:p>
        </w:tc>
      </w:tr>
      <w:tr w:rsidR="00BE5E66" w:rsidRPr="000923D4" w14:paraId="640EA652" w14:textId="77777777" w:rsidTr="4B98E30B">
        <w:tc>
          <w:tcPr>
            <w:tcW w:w="900" w:type="dxa"/>
            <w:vAlign w:val="center"/>
            <w:hideMark/>
          </w:tcPr>
          <w:p w14:paraId="17EDFC26" w14:textId="6AD30C4B" w:rsidR="00BE5E66" w:rsidRPr="000923D4" w:rsidRDefault="00BE5E66" w:rsidP="00146FCE">
            <w:pPr>
              <w:rPr>
                <w:rFonts w:ascii="Tahoma" w:hAnsi="Tahoma" w:cs="Tahoma"/>
              </w:rPr>
            </w:pPr>
            <w:r>
              <w:rPr>
                <w:rFonts w:ascii="Tahoma" w:hAnsi="Tahoma" w:cs="Tahoma"/>
              </w:rPr>
              <w:lastRenderedPageBreak/>
              <w:t>7</w:t>
            </w:r>
          </w:p>
        </w:tc>
        <w:tc>
          <w:tcPr>
            <w:tcW w:w="2001" w:type="dxa"/>
            <w:vAlign w:val="center"/>
            <w:hideMark/>
          </w:tcPr>
          <w:p w14:paraId="1FEF0A02" w14:textId="77777777" w:rsidR="00BE5E66" w:rsidRPr="000923D4" w:rsidRDefault="00BE5E66" w:rsidP="00146FCE">
            <w:pPr>
              <w:rPr>
                <w:rFonts w:ascii="Tahoma" w:hAnsi="Tahoma" w:cs="Tahoma"/>
              </w:rPr>
            </w:pPr>
            <w:r w:rsidRPr="000923D4">
              <w:rPr>
                <w:rFonts w:ascii="Tahoma" w:hAnsi="Tahoma" w:cs="Tahoma"/>
              </w:rPr>
              <w:t>Dokumentacja powdrożeniowa</w:t>
            </w:r>
          </w:p>
        </w:tc>
        <w:tc>
          <w:tcPr>
            <w:tcW w:w="6727" w:type="dxa"/>
          </w:tcPr>
          <w:p w14:paraId="37EB4AF4" w14:textId="77777777" w:rsidR="00504000" w:rsidRDefault="00504000" w:rsidP="52A53500">
            <w:pPr>
              <w:spacing w:line="276" w:lineRule="auto"/>
              <w:jc w:val="both"/>
              <w:rPr>
                <w:rFonts w:ascii="Tahoma" w:hAnsi="Tahoma" w:cs="Tahoma"/>
              </w:rPr>
            </w:pPr>
            <w:r w:rsidRPr="00504000">
              <w:rPr>
                <w:rFonts w:ascii="Tahoma" w:hAnsi="Tahoma" w:cs="Tahoma"/>
              </w:rPr>
              <w:t>Wykonawca musi opracować dokumentację powdrożeniową obejmującą co najmniej:</w:t>
            </w:r>
          </w:p>
          <w:p w14:paraId="305FBE27" w14:textId="5111EE2E" w:rsidR="00BE5E66" w:rsidRPr="000923D4" w:rsidRDefault="00504000" w:rsidP="52A53500">
            <w:pPr>
              <w:spacing w:line="276" w:lineRule="auto"/>
              <w:jc w:val="both"/>
              <w:rPr>
                <w:rFonts w:ascii="Tahoma" w:hAnsi="Tahoma" w:cs="Tahoma"/>
              </w:rPr>
            </w:pPr>
            <w:r w:rsidRPr="00504000">
              <w:rPr>
                <w:rFonts w:ascii="Tahoma" w:hAnsi="Tahoma" w:cs="Tahoma"/>
              </w:rPr>
              <w:t>a) adresację zarządzającą urządzeń,</w:t>
            </w:r>
            <w:r w:rsidRPr="00504000">
              <w:rPr>
                <w:rFonts w:ascii="Tahoma" w:hAnsi="Tahoma" w:cs="Tahoma"/>
              </w:rPr>
              <w:br/>
              <w:t>b) opis podstawowych parametrów konfiguracji przełącznika i NGFW,</w:t>
            </w:r>
            <w:r w:rsidRPr="00504000">
              <w:rPr>
                <w:rFonts w:ascii="Tahoma" w:hAnsi="Tahoma" w:cs="Tahoma"/>
              </w:rPr>
              <w:br/>
              <w:t>c) zestawienie portów, interfejsów, VLAN, stref bezpieczeństwa i połączeń w zakresie wdrożonych urządzeń,</w:t>
            </w:r>
            <w:r w:rsidRPr="00504000">
              <w:rPr>
                <w:rFonts w:ascii="Tahoma" w:hAnsi="Tahoma" w:cs="Tahoma"/>
              </w:rPr>
              <w:br/>
              <w:t>d) opis skonfigurowanych reguł firewall, routingu, NAT, VPN, dostępu administracyjnego oraz mechanizmów logowania na NGFW,</w:t>
            </w:r>
            <w:r w:rsidRPr="00504000">
              <w:rPr>
                <w:rFonts w:ascii="Tahoma" w:hAnsi="Tahoma" w:cs="Tahoma"/>
              </w:rPr>
              <w:br/>
              <w:t>e) opis zasad komunikacji pomiędzy segmentami OT, sondami sprzętowymi, stacją przesiadkową, serwerem HA, NAS do backupu logów i konfiguracji OT oraz innymi elementami infrastruktury objętymi wdrożeniem,</w:t>
            </w:r>
            <w:r w:rsidRPr="00504000">
              <w:rPr>
                <w:rFonts w:ascii="Tahoma" w:hAnsi="Tahoma" w:cs="Tahoma"/>
              </w:rPr>
              <w:br/>
              <w:t>f) informację o wykonanej kopii konfiguracji przełącznika i NGFW oraz procedurę jej odtworzenia,</w:t>
            </w:r>
            <w:r w:rsidRPr="00504000">
              <w:rPr>
                <w:rFonts w:ascii="Tahoma" w:hAnsi="Tahoma" w:cs="Tahoma"/>
              </w:rPr>
              <w:br/>
              <w:t>g) informacje niezbędne do administrowania i eksploatacji urządzeń,</w:t>
            </w:r>
            <w:r w:rsidRPr="00504000">
              <w:rPr>
                <w:rFonts w:ascii="Tahoma" w:hAnsi="Tahoma" w:cs="Tahoma"/>
              </w:rPr>
              <w:br/>
              <w:t>h) wyniki przeprowadzonych testów funkcjonalnych,</w:t>
            </w:r>
            <w:r w:rsidRPr="00504000">
              <w:rPr>
                <w:rFonts w:ascii="Tahoma" w:hAnsi="Tahoma" w:cs="Tahoma"/>
              </w:rPr>
              <w:br/>
              <w:t>i) opis ewentualnych ograniczeń, wyjątków, ustaleń eksploatacyjnych lub zaleceń dotyczących dalszego utrzymania konfiguracji w środowisku OT.</w:t>
            </w:r>
          </w:p>
        </w:tc>
      </w:tr>
      <w:tr w:rsidR="00BE5E66" w:rsidRPr="000923D4" w14:paraId="1034ACB8" w14:textId="77777777" w:rsidTr="4B98E30B">
        <w:tc>
          <w:tcPr>
            <w:tcW w:w="900" w:type="dxa"/>
            <w:vAlign w:val="center"/>
          </w:tcPr>
          <w:p w14:paraId="667318EF" w14:textId="14F70246" w:rsidR="00BE5E66" w:rsidRDefault="00BE5E66" w:rsidP="00146FCE">
            <w:pPr>
              <w:rPr>
                <w:rFonts w:ascii="Tahoma" w:hAnsi="Tahoma" w:cs="Tahoma"/>
              </w:rPr>
            </w:pPr>
            <w:r>
              <w:rPr>
                <w:rFonts w:ascii="Tahoma" w:hAnsi="Tahoma" w:cs="Tahoma"/>
              </w:rPr>
              <w:t>8</w:t>
            </w:r>
          </w:p>
        </w:tc>
        <w:tc>
          <w:tcPr>
            <w:tcW w:w="2001" w:type="dxa"/>
            <w:vAlign w:val="center"/>
          </w:tcPr>
          <w:p w14:paraId="68906D60" w14:textId="264FF104" w:rsidR="00BE5E66" w:rsidRPr="000923D4" w:rsidRDefault="00BE5E66" w:rsidP="00146FCE">
            <w:pPr>
              <w:rPr>
                <w:rFonts w:ascii="Tahoma" w:hAnsi="Tahoma" w:cs="Tahoma"/>
              </w:rPr>
            </w:pPr>
            <w:r w:rsidRPr="00BE5E66">
              <w:rPr>
                <w:rFonts w:ascii="Tahoma" w:hAnsi="Tahoma" w:cs="Tahoma"/>
              </w:rPr>
              <w:t>Prace w środowisku produkcyjnym / OT</w:t>
            </w:r>
          </w:p>
        </w:tc>
        <w:tc>
          <w:tcPr>
            <w:tcW w:w="6727" w:type="dxa"/>
          </w:tcPr>
          <w:p w14:paraId="25BD95E4" w14:textId="77777777" w:rsidR="00BE5E66" w:rsidRDefault="576182DA" w:rsidP="52A53500">
            <w:pPr>
              <w:spacing w:line="276" w:lineRule="auto"/>
              <w:jc w:val="both"/>
              <w:rPr>
                <w:rFonts w:ascii="Tahoma" w:hAnsi="Tahoma" w:cs="Tahoma"/>
              </w:rPr>
            </w:pPr>
            <w:r w:rsidRPr="52A53500">
              <w:rPr>
                <w:rFonts w:ascii="Tahoma" w:hAnsi="Tahoma" w:cs="Tahoma"/>
              </w:rPr>
              <w:t>Wykonawca musi wykonywać prace w sposób ograniczający ryzyko zakłócenia działania infrastruktury technologicznej i systemów automatyki. Terminy oraz sposób realizacji prac w poszczególnych lokalizacjach muszą być uzgadniane z Zamawiającym, jeżeli jest to niezbędne dla zachowania ciągłości pracy obiektów.</w:t>
            </w:r>
          </w:p>
          <w:p w14:paraId="07C0F2F1" w14:textId="480AE6BE" w:rsidR="00504000" w:rsidRPr="00BE5E66" w:rsidRDefault="00504000" w:rsidP="52A53500">
            <w:pPr>
              <w:spacing w:line="276" w:lineRule="auto"/>
              <w:jc w:val="both"/>
              <w:rPr>
                <w:rFonts w:ascii="Tahoma" w:hAnsi="Tahoma" w:cs="Tahoma"/>
              </w:rPr>
            </w:pPr>
            <w:r w:rsidRPr="00504000">
              <w:rPr>
                <w:rFonts w:ascii="Tahoma" w:hAnsi="Tahoma" w:cs="Tahoma"/>
              </w:rPr>
              <w:t xml:space="preserve">Konfiguracja NGFW musi być wykonywana w sposób ograniczający ryzyko przerwania komunikacji systemów automatyki, sond sprzętowych, stacji przesiadkowej, serwera HA, NAS do backupu logów i konfiguracji OT oraz innych elementów infrastruktury technologicznej. Wszelkie zmiany reguł firewall, VLAN, routingu, NAT, VPN, IPS lub innych </w:t>
            </w:r>
            <w:r w:rsidRPr="00504000">
              <w:rPr>
                <w:rFonts w:ascii="Tahoma" w:hAnsi="Tahoma" w:cs="Tahoma"/>
              </w:rPr>
              <w:lastRenderedPageBreak/>
              <w:t>mechanizmów bezpieczeństwa wpływających na komunikację OT muszą być uzgodnione z Zamawiającym przed ich wdrożeniem produkcyjnym.</w:t>
            </w:r>
          </w:p>
        </w:tc>
      </w:tr>
      <w:tr w:rsidR="00BE5E66" w:rsidRPr="000923D4" w14:paraId="48E57448" w14:textId="77777777" w:rsidTr="4B98E30B">
        <w:tc>
          <w:tcPr>
            <w:tcW w:w="900" w:type="dxa"/>
            <w:vAlign w:val="center"/>
          </w:tcPr>
          <w:p w14:paraId="27550DBA" w14:textId="631EE369" w:rsidR="00BE5E66" w:rsidRDefault="00BE5E66" w:rsidP="00146FCE">
            <w:pPr>
              <w:rPr>
                <w:rFonts w:ascii="Tahoma" w:hAnsi="Tahoma" w:cs="Tahoma"/>
              </w:rPr>
            </w:pPr>
            <w:r>
              <w:rPr>
                <w:rFonts w:ascii="Tahoma" w:hAnsi="Tahoma" w:cs="Tahoma"/>
              </w:rPr>
              <w:lastRenderedPageBreak/>
              <w:t>9</w:t>
            </w:r>
          </w:p>
        </w:tc>
        <w:tc>
          <w:tcPr>
            <w:tcW w:w="2001" w:type="dxa"/>
            <w:vAlign w:val="center"/>
          </w:tcPr>
          <w:p w14:paraId="04FC7111" w14:textId="7AD33DCE" w:rsidR="00BE5E66" w:rsidRPr="00BE5E66" w:rsidRDefault="00BE5E66" w:rsidP="00146FCE">
            <w:pPr>
              <w:rPr>
                <w:rFonts w:ascii="Tahoma" w:hAnsi="Tahoma" w:cs="Tahoma"/>
              </w:rPr>
            </w:pPr>
            <w:r w:rsidRPr="00BE5E66">
              <w:rPr>
                <w:rFonts w:ascii="Tahoma" w:hAnsi="Tahoma" w:cs="Tahoma"/>
              </w:rPr>
              <w:t xml:space="preserve">Patchcordy i </w:t>
            </w:r>
            <w:r>
              <w:rPr>
                <w:rFonts w:ascii="Tahoma" w:hAnsi="Tahoma" w:cs="Tahoma"/>
              </w:rPr>
              <w:t>elementy</w:t>
            </w:r>
            <w:r w:rsidRPr="00BE5E66">
              <w:rPr>
                <w:rFonts w:ascii="Tahoma" w:hAnsi="Tahoma" w:cs="Tahoma"/>
              </w:rPr>
              <w:t xml:space="preserve"> połączeniowe</w:t>
            </w:r>
          </w:p>
        </w:tc>
        <w:tc>
          <w:tcPr>
            <w:tcW w:w="6727" w:type="dxa"/>
          </w:tcPr>
          <w:p w14:paraId="0A35904C" w14:textId="77777777" w:rsidR="00504000" w:rsidRPr="00504000" w:rsidRDefault="00504000" w:rsidP="00504000">
            <w:pPr>
              <w:spacing w:line="276" w:lineRule="auto"/>
              <w:jc w:val="both"/>
              <w:rPr>
                <w:rFonts w:ascii="Tahoma" w:hAnsi="Tahoma" w:cs="Tahoma"/>
              </w:rPr>
            </w:pPr>
            <w:r w:rsidRPr="00504000">
              <w:rPr>
                <w:rFonts w:ascii="Tahoma" w:hAnsi="Tahoma" w:cs="Tahoma"/>
              </w:rPr>
              <w:t>W ramach realizacji usługi Wykonawca musi zapewnić oraz zastosować patchcordy i inne elementy połączeniowe niezbędne do wykonania instalacji, podłączenia i uruchomienia zarządzalnego przełącznika sieciowego oraz urządzenia NGFW w poszczególnych lokalizacjach. Zastosowane patchcordy i elementy połączeniowe muszą być kompatybilne z dostarczonymi urządzeniami oraz dostosowane do warunków technicznych miejsca instalacji.</w:t>
            </w:r>
          </w:p>
          <w:p w14:paraId="638A3A24" w14:textId="12E4681D" w:rsidR="00BE5E66" w:rsidRPr="00BE5E66" w:rsidRDefault="00504000" w:rsidP="52A53500">
            <w:pPr>
              <w:spacing w:line="276" w:lineRule="auto"/>
              <w:jc w:val="both"/>
              <w:rPr>
                <w:rFonts w:ascii="Tahoma" w:hAnsi="Tahoma" w:cs="Tahoma"/>
              </w:rPr>
            </w:pPr>
            <w:r w:rsidRPr="00504000">
              <w:rPr>
                <w:rFonts w:ascii="Tahoma" w:hAnsi="Tahoma" w:cs="Tahoma"/>
              </w:rPr>
              <w:t>Jeżeli do prawidłowego podłączenia NGFW wymagane są dodatkowe przewody, adaptery, moduły, wkładki, uchwyty lub inne elementy połączeniowe, Wykonawca zobowiązany jest zapewnić je w ramach usługi, o ile nie zostały dostarczone w ramach odrębnej części zamówienia dotyczącej zakupu urządzenia NGFW.</w:t>
            </w:r>
          </w:p>
        </w:tc>
      </w:tr>
      <w:tr w:rsidR="00BE5E66" w:rsidRPr="000923D4" w14:paraId="515ACB3F" w14:textId="77777777" w:rsidTr="4B98E30B">
        <w:tc>
          <w:tcPr>
            <w:tcW w:w="900" w:type="dxa"/>
            <w:vAlign w:val="center"/>
            <w:hideMark/>
          </w:tcPr>
          <w:p w14:paraId="210F94EC" w14:textId="20B5BDDB" w:rsidR="00BE5E66" w:rsidRPr="000923D4" w:rsidRDefault="00BE5E66" w:rsidP="00146FCE">
            <w:pPr>
              <w:rPr>
                <w:rFonts w:ascii="Tahoma" w:hAnsi="Tahoma" w:cs="Tahoma"/>
              </w:rPr>
            </w:pPr>
            <w:r>
              <w:rPr>
                <w:rFonts w:ascii="Tahoma" w:hAnsi="Tahoma" w:cs="Tahoma"/>
              </w:rPr>
              <w:t>10</w:t>
            </w:r>
          </w:p>
        </w:tc>
        <w:tc>
          <w:tcPr>
            <w:tcW w:w="2001" w:type="dxa"/>
            <w:vAlign w:val="center"/>
            <w:hideMark/>
          </w:tcPr>
          <w:p w14:paraId="6DD0E23F" w14:textId="77777777" w:rsidR="00BE5E66" w:rsidRPr="000923D4" w:rsidRDefault="00BE5E66" w:rsidP="00146FCE">
            <w:pPr>
              <w:rPr>
                <w:rFonts w:ascii="Tahoma" w:hAnsi="Tahoma" w:cs="Tahoma"/>
              </w:rPr>
            </w:pPr>
            <w:r w:rsidRPr="000923D4">
              <w:rPr>
                <w:rFonts w:ascii="Tahoma" w:hAnsi="Tahoma" w:cs="Tahoma"/>
              </w:rPr>
              <w:t>Przekazanie systemu do eksploatacji</w:t>
            </w:r>
          </w:p>
        </w:tc>
        <w:tc>
          <w:tcPr>
            <w:tcW w:w="6727" w:type="dxa"/>
            <w:hideMark/>
          </w:tcPr>
          <w:p w14:paraId="7CF86456" w14:textId="7210FA43" w:rsidR="576182DA" w:rsidRDefault="576182DA" w:rsidP="4B98E30B">
            <w:pPr>
              <w:spacing w:line="276" w:lineRule="auto"/>
              <w:jc w:val="both"/>
              <w:rPr>
                <w:rFonts w:ascii="Tahoma" w:hAnsi="Tahoma" w:cs="Tahoma"/>
              </w:rPr>
            </w:pPr>
            <w:r w:rsidRPr="4B98E30B">
              <w:rPr>
                <w:rFonts w:ascii="Tahoma" w:hAnsi="Tahoma" w:cs="Tahoma"/>
              </w:rPr>
              <w:t>Po zakończeniu prac Wykonawca musi przekazać Zamawiającemu skonfigurowane i uruchomione urządzenia do eksploatacji wraz z dokumentacją powdrożeniową.</w:t>
            </w:r>
            <w:r>
              <w:br/>
            </w:r>
            <w:r w:rsidRPr="4B98E30B">
              <w:rPr>
                <w:rFonts w:ascii="Tahoma" w:hAnsi="Tahoma" w:cs="Tahoma"/>
              </w:rPr>
              <w:t>Podstawą odbioru usługi będzie łączne potwierdzenie:</w:t>
            </w:r>
            <w:r>
              <w:br/>
            </w:r>
            <w:r w:rsidRPr="4B98E30B">
              <w:rPr>
                <w:rFonts w:ascii="Tahoma" w:hAnsi="Tahoma" w:cs="Tahoma"/>
              </w:rPr>
              <w:t>a) wykonania instalacji we wszystkich wskazanych lokalizacjach,</w:t>
            </w:r>
            <w:r>
              <w:br/>
            </w:r>
            <w:r w:rsidRPr="4B98E30B">
              <w:rPr>
                <w:rFonts w:ascii="Tahoma" w:hAnsi="Tahoma" w:cs="Tahoma"/>
              </w:rPr>
              <w:t>b) wykonania konfiguracji zgodnie z wymaganiami Zamawiającego,</w:t>
            </w:r>
            <w:r>
              <w:br/>
            </w:r>
            <w:r w:rsidRPr="4B98E30B">
              <w:rPr>
                <w:rFonts w:ascii="Tahoma" w:hAnsi="Tahoma" w:cs="Tahoma"/>
              </w:rPr>
              <w:t>c) przeprowadzenia testów funkcjonalnych z wynikiem pozytywnym,</w:t>
            </w:r>
            <w:r w:rsidR="00504000">
              <w:rPr>
                <w:rFonts w:ascii="Tahoma" w:hAnsi="Tahoma" w:cs="Tahoma"/>
              </w:rPr>
              <w:br/>
            </w:r>
            <w:r w:rsidR="00504000" w:rsidRPr="00504000">
              <w:rPr>
                <w:rFonts w:ascii="Tahoma" w:hAnsi="Tahoma" w:cs="Tahoma"/>
              </w:rPr>
              <w:t>d) potwierdzenia wykonania konfiguracji NGFW, w tym co najmniej interfejsów, stref bezpieczeństwa, VLAN, reguł firewall, routingu, NAT, VPN</w:t>
            </w:r>
            <w:r w:rsidR="00504000">
              <w:rPr>
                <w:rFonts w:ascii="Tahoma" w:hAnsi="Tahoma" w:cs="Tahoma"/>
              </w:rPr>
              <w:t xml:space="preserve">, </w:t>
            </w:r>
            <w:r w:rsidR="00504000" w:rsidRPr="00504000">
              <w:rPr>
                <w:rFonts w:ascii="Tahoma" w:hAnsi="Tahoma" w:cs="Tahoma"/>
              </w:rPr>
              <w:t>jeżeli VPN został przewidziany oraz mechanizmów logowania,</w:t>
            </w:r>
            <w:r w:rsidR="00504000" w:rsidRPr="00504000">
              <w:rPr>
                <w:rFonts w:ascii="Tahoma" w:hAnsi="Tahoma" w:cs="Tahoma"/>
              </w:rPr>
              <w:br/>
              <w:t>e) potwierdzenia wykonania i przekazania kopii konfiguracji NGFW oraz procedury jej odtworzenia,</w:t>
            </w:r>
            <w:r w:rsidR="00504000" w:rsidRPr="00504000">
              <w:rPr>
                <w:rFonts w:ascii="Tahoma" w:hAnsi="Tahoma" w:cs="Tahoma"/>
              </w:rPr>
              <w:br/>
              <w:t xml:space="preserve">f) potwierdzenia poprawności komunikacji dopuszczonej w </w:t>
            </w:r>
            <w:r w:rsidR="00504000" w:rsidRPr="00504000">
              <w:rPr>
                <w:rFonts w:ascii="Tahoma" w:hAnsi="Tahoma" w:cs="Tahoma"/>
              </w:rPr>
              <w:lastRenderedPageBreak/>
              <w:t>regułach NGFW oraz poprawności ograniczenia komunikacji niedozwolonej,</w:t>
            </w:r>
            <w:r w:rsidR="00504000" w:rsidRPr="00504000">
              <w:rPr>
                <w:rFonts w:ascii="Tahoma" w:hAnsi="Tahoma" w:cs="Tahoma"/>
              </w:rPr>
              <w:br/>
              <w:t>g) potwierdzenia, że konfiguracja NGFW nie zakłóca pracy infrastruktury technologicznej, systemów automatyki oraz pozostałych elementów OT objętych wdrożeniem,</w:t>
            </w:r>
            <w:r>
              <w:br/>
            </w:r>
            <w:r w:rsidRPr="4B98E30B">
              <w:rPr>
                <w:rFonts w:ascii="Tahoma" w:hAnsi="Tahoma" w:cs="Tahoma"/>
              </w:rPr>
              <w:t>d) przekazania dokumentacji powdrożeniowej</w:t>
            </w:r>
            <w:r w:rsidR="4CB78FD5" w:rsidRPr="4B98E30B">
              <w:rPr>
                <w:rFonts w:ascii="Tahoma" w:hAnsi="Tahoma" w:cs="Tahoma"/>
              </w:rPr>
              <w:t>,</w:t>
            </w:r>
            <w:r>
              <w:br/>
            </w:r>
            <w:r w:rsidR="3E8675DF" w:rsidRPr="4B98E30B">
              <w:rPr>
                <w:rFonts w:ascii="Tahoma" w:hAnsi="Tahoma" w:cs="Tahoma"/>
              </w:rPr>
              <w:t xml:space="preserve">e) </w:t>
            </w:r>
            <w:r w:rsidR="3E8675DF" w:rsidRPr="4B98E30B">
              <w:rPr>
                <w:rFonts w:ascii="Tahoma" w:eastAsia="Tahoma" w:hAnsi="Tahoma" w:cs="Tahoma"/>
              </w:rPr>
              <w:t>przekazania informacji i materiałów niezbędnych do administrowania urządzeniami, w tym danych konfiguracyjnych, sposobu dostępu administracyjnego oraz dokumentacji wymaganej do samodzielnej eksploatacji.</w:t>
            </w:r>
          </w:p>
          <w:p w14:paraId="018473CA" w14:textId="7AC5F1F9" w:rsidR="00BE5E66" w:rsidRPr="000923D4" w:rsidRDefault="576182DA" w:rsidP="52A53500">
            <w:pPr>
              <w:spacing w:line="276" w:lineRule="auto"/>
              <w:jc w:val="both"/>
              <w:rPr>
                <w:rFonts w:ascii="Tahoma" w:hAnsi="Tahoma" w:cs="Tahoma"/>
              </w:rPr>
            </w:pPr>
            <w:r w:rsidRPr="52A53500">
              <w:rPr>
                <w:rFonts w:ascii="Tahoma" w:hAnsi="Tahoma" w:cs="Tahoma"/>
              </w:rPr>
              <w:t>Potwierdzenie wykonania usługi nastąpi w formie protokołu odbioru podpisanego przez przedstawicieli Zamawiającego i Wykonawcy.</w:t>
            </w:r>
          </w:p>
        </w:tc>
      </w:tr>
    </w:tbl>
    <w:p w14:paraId="2E59501D" w14:textId="77777777" w:rsidR="00200170" w:rsidRPr="00200170" w:rsidRDefault="00200170" w:rsidP="000A73E2">
      <w:pPr>
        <w:rPr>
          <w:rFonts w:ascii="Tahoma" w:hAnsi="Tahoma" w:cs="Tahoma"/>
        </w:rPr>
      </w:pPr>
    </w:p>
    <w:sectPr w:rsidR="00200170" w:rsidRPr="00200170" w:rsidSect="00A34049">
      <w:headerReference w:type="default" r:id="rId11"/>
      <w:footerReference w:type="even" r:id="rId12"/>
      <w:footerReference w:type="default" r:id="rId13"/>
      <w:headerReference w:type="first" r:id="rId14"/>
      <w:footerReference w:type="first" r:id="rId15"/>
      <w:type w:val="continuous"/>
      <w:pgSz w:w="11906" w:h="16838" w:code="9"/>
      <w:pgMar w:top="1922" w:right="1134" w:bottom="1446" w:left="1134" w:header="283" w:footer="1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EB272B" w14:textId="77777777" w:rsidR="0083517F" w:rsidRDefault="0083517F">
      <w:r>
        <w:separator/>
      </w:r>
    </w:p>
  </w:endnote>
  <w:endnote w:type="continuationSeparator" w:id="0">
    <w:p w14:paraId="43BD9262" w14:textId="77777777" w:rsidR="0083517F" w:rsidRDefault="00835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D2AF0" w14:textId="77777777" w:rsidR="00760990" w:rsidRDefault="005E22E2" w:rsidP="00FF1DDF">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128535DF" w14:textId="77777777" w:rsidR="00760990" w:rsidRDefault="0076099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97E6A" w14:textId="50FA8C71" w:rsidR="00C24F21" w:rsidRPr="00C24F21" w:rsidRDefault="00C41A18" w:rsidP="00CA518A">
    <w:pPr>
      <w:pStyle w:val="Stopka"/>
      <w:tabs>
        <w:tab w:val="right" w:pos="9720"/>
      </w:tabs>
      <w:jc w:val="center"/>
      <w:rPr>
        <w:rFonts w:asciiTheme="minorHAnsi" w:hAnsiTheme="minorHAnsi" w:cstheme="minorHAnsi"/>
        <w:color w:val="646464"/>
        <w:sz w:val="10"/>
        <w:szCs w:val="10"/>
      </w:rPr>
    </w:pPr>
    <w:r>
      <w:rPr>
        <w:rFonts w:asciiTheme="minorHAnsi" w:hAnsiTheme="minorHAnsi" w:cstheme="minorHAnsi"/>
        <w:noProof/>
        <w:color w:val="474747"/>
        <w:sz w:val="10"/>
        <w:szCs w:val="10"/>
        <w:lang w:eastAsia="pl-PL"/>
      </w:rPr>
      <w:drawing>
        <wp:inline distT="0" distB="0" distL="0" distR="0" wp14:anchorId="03E1F92F" wp14:editId="508295A2">
          <wp:extent cx="4434840" cy="335280"/>
          <wp:effectExtent l="0" t="0" r="0" b="7620"/>
          <wp:docPr id="84524334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r="23016" b="2222"/>
                  <a:stretch>
                    <a:fillRect/>
                  </a:stretch>
                </pic:blipFill>
                <pic:spPr bwMode="auto">
                  <a:xfrm>
                    <a:off x="0" y="0"/>
                    <a:ext cx="4434840" cy="335280"/>
                  </a:xfrm>
                  <a:prstGeom prst="rect">
                    <a:avLst/>
                  </a:prstGeom>
                  <a:noFill/>
                  <a:ln>
                    <a:noFill/>
                  </a:ln>
                  <a:extLst>
                    <a:ext uri="{53640926-AAD7-44D8-BBD7-CCE9431645EC}">
                      <a14:shadowObscured xmlns:a14="http://schemas.microsoft.com/office/drawing/2010/main"/>
                    </a:ext>
                  </a:extLst>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44BA0" w14:textId="72F71B98" w:rsidR="00760990" w:rsidRPr="00A25198" w:rsidRDefault="00A25198" w:rsidP="00A25198">
    <w:pPr>
      <w:pStyle w:val="Stopka"/>
      <w:tabs>
        <w:tab w:val="right" w:pos="9720"/>
      </w:tabs>
      <w:rPr>
        <w:rFonts w:asciiTheme="minorHAnsi" w:hAnsiTheme="minorHAnsi" w:cstheme="minorHAnsi"/>
        <w:color w:val="646464"/>
        <w:sz w:val="10"/>
        <w:szCs w:val="10"/>
      </w:rPr>
    </w:pPr>
    <w:r w:rsidRPr="00A25198">
      <w:rPr>
        <w:rFonts w:asciiTheme="minorHAnsi" w:hAnsiTheme="minorHAnsi" w:cstheme="minorHAnsi"/>
        <w:noProof/>
        <w:color w:val="474747"/>
        <w:sz w:val="10"/>
        <w:szCs w:val="10"/>
        <w:lang w:eastAsia="pl-PL"/>
      </w:rPr>
      <w:drawing>
        <wp:anchor distT="0" distB="0" distL="114300" distR="114300" simplePos="0" relativeHeight="251656704" behindDoc="0" locked="0" layoutInCell="1" allowOverlap="1" wp14:anchorId="46D0333D" wp14:editId="3C4A9316">
          <wp:simplePos x="0" y="0"/>
          <wp:positionH relativeFrom="column">
            <wp:posOffset>2781300</wp:posOffset>
          </wp:positionH>
          <wp:positionV relativeFrom="paragraph">
            <wp:posOffset>40640</wp:posOffset>
          </wp:positionV>
          <wp:extent cx="3676650" cy="275590"/>
          <wp:effectExtent l="0" t="0" r="0" b="0"/>
          <wp:wrapSquare wrapText="bothSides"/>
          <wp:docPr id="1103463517"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extLst>
                      <a:ext uri="{C183D7F6-B498-43B3-948B-1728B52AA6E4}">
                        <adec:decorative xmlns:adec="http://schemas.microsoft.com/office/drawing/2017/decorative" val="1"/>
                      </a:ext>
                    </a:extLst>
                  </pic:cNvPr>
                  <pic:cNvPicPr/>
                </pic:nvPicPr>
                <pic:blipFill>
                  <a:blip r:embed="rId1"/>
                  <a:stretch>
                    <a:fillRect/>
                  </a:stretch>
                </pic:blipFill>
                <pic:spPr>
                  <a:xfrm>
                    <a:off x="0" y="0"/>
                    <a:ext cx="3676650" cy="275590"/>
                  </a:xfrm>
                  <a:prstGeom prst="rect">
                    <a:avLst/>
                  </a:prstGeom>
                </pic:spPr>
              </pic:pic>
            </a:graphicData>
          </a:graphic>
          <wp14:sizeRelH relativeFrom="margin">
            <wp14:pctWidth>0</wp14:pctWidth>
          </wp14:sizeRelH>
          <wp14:sizeRelV relativeFrom="margin">
            <wp14:pctHeight>0</wp14:pctHeight>
          </wp14:sizeRelV>
        </wp:anchor>
      </w:drawing>
    </w:r>
    <w:r w:rsidRPr="00A25198">
      <w:rPr>
        <w:rFonts w:asciiTheme="minorHAnsi" w:hAnsiTheme="minorHAnsi" w:cstheme="minorHAnsi"/>
        <w:color w:val="646464"/>
        <w:sz w:val="10"/>
        <w:szCs w:val="10"/>
      </w:rPr>
      <w:t xml:space="preserve">CENTRUM PROJEKTÓW POLSKA CYFROWA </w:t>
    </w:r>
    <w:r w:rsidRPr="00A25198">
      <w:rPr>
        <w:rFonts w:asciiTheme="minorHAnsi" w:hAnsiTheme="minorHAnsi" w:cstheme="minorHAnsi"/>
        <w:color w:val="646464"/>
        <w:sz w:val="10"/>
        <w:szCs w:val="10"/>
      </w:rPr>
      <w:br/>
      <w:t>ul. Spokojna 13A, 01-044 Warszawa | infolinia: +48 223152340 | e-mail: cppc@cppc.gov.pl</w:t>
    </w:r>
    <w:r w:rsidR="00000000">
      <w:rPr>
        <w:rFonts w:asciiTheme="minorHAnsi" w:hAnsiTheme="minorHAnsi" w:cstheme="minorHAnsi"/>
        <w:noProof/>
        <w:sz w:val="10"/>
        <w:szCs w:val="10"/>
      </w:rPr>
      <w:pict w14:anchorId="323B3C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alt="" style="position:absolute;margin-left:-60.5pt;margin-top:481.05pt;width:599.6pt;height:262.45pt;z-index:-251657728;mso-wrap-edited:f;mso-width-percent:0;mso-height-percent:0;mso-position-horizontal-relative:margin;mso-position-vertical-relative:margin;mso-width-percent:0;mso-height-percent:0" o:allowincell="f">
          <v:imagedata r:id="rId2" o:title="cppc_elementy_tla"/>
          <w10:wrap anchorx="margin" anchory="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52340E" w14:textId="77777777" w:rsidR="0083517F" w:rsidRDefault="0083517F">
      <w:r>
        <w:separator/>
      </w:r>
    </w:p>
  </w:footnote>
  <w:footnote w:type="continuationSeparator" w:id="0">
    <w:p w14:paraId="23FB1BFE" w14:textId="77777777" w:rsidR="0083517F" w:rsidRDefault="008351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65DA7" w14:textId="36EAA304" w:rsidR="00C41A18" w:rsidRDefault="00CA518A">
    <w:pPr>
      <w:pStyle w:val="Nagwek"/>
    </w:pPr>
    <w:r w:rsidRPr="00CA518A">
      <w:rPr>
        <w:rFonts w:asciiTheme="minorHAnsi" w:hAnsiTheme="minorHAnsi" w:cstheme="minorHAnsi"/>
        <w:noProof/>
        <w:color w:val="646464"/>
        <w:sz w:val="10"/>
        <w:szCs w:val="10"/>
      </w:rPr>
      <w:drawing>
        <wp:anchor distT="0" distB="0" distL="114300" distR="114300" simplePos="0" relativeHeight="251657728" behindDoc="1" locked="0" layoutInCell="1" allowOverlap="1" wp14:anchorId="1857C250" wp14:editId="36CDB264">
          <wp:simplePos x="0" y="0"/>
          <wp:positionH relativeFrom="margin">
            <wp:align>center</wp:align>
          </wp:positionH>
          <wp:positionV relativeFrom="margin">
            <wp:posOffset>4107815</wp:posOffset>
          </wp:positionV>
          <wp:extent cx="7513200" cy="4305600"/>
          <wp:effectExtent l="0" t="0" r="0" b="0"/>
          <wp:wrapNone/>
          <wp:docPr id="1097487058" name="Obraz 2" descr="Obraz zawierający Czcionka, Grafika, design&#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7487058" name="Obraz 2" descr="Obraz zawierający Czcionka, Grafika, design&#10;&#10;Zawartość wygenerowana przez AI może być niepoprawna."/>
                  <pic:cNvPicPr>
                    <a:picLocks noChangeAspect="1" noChangeArrowheads="1"/>
                  </pic:cNvPicPr>
                </pic:nvPicPr>
                <pic:blipFill rotWithShape="1">
                  <a:blip r:embed="rId1">
                    <a:alphaModFix amt="20000"/>
                    <a:extLst>
                      <a:ext uri="{28A0092B-C50C-407E-A947-70E740481C1C}">
                        <a14:useLocalDpi xmlns:a14="http://schemas.microsoft.com/office/drawing/2010/main" val="0"/>
                      </a:ext>
                    </a:extLst>
                  </a:blip>
                  <a:srcRect l="1626" t="7757" r="71865" b="41400"/>
                  <a:stretch>
                    <a:fillRect/>
                  </a:stretch>
                </pic:blipFill>
                <pic:spPr bwMode="auto">
                  <a:xfrm>
                    <a:off x="0" y="0"/>
                    <a:ext cx="7513200" cy="4305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C41A18">
      <w:rPr>
        <w:noProof/>
      </w:rPr>
      <w:drawing>
        <wp:inline distT="0" distB="0" distL="0" distR="0" wp14:anchorId="0A1C5D8B" wp14:editId="00D89F06">
          <wp:extent cx="1928267" cy="557100"/>
          <wp:effectExtent l="0" t="0" r="0" b="0"/>
          <wp:docPr id="1547000015"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7000015" name="Obraz 3"/>
                  <pic:cNvPicPr>
                    <a:picLocks noChangeAspect="1" noChangeArrowheads="1"/>
                  </pic:cNvPicPr>
                </pic:nvPicPr>
                <pic:blipFill>
                  <a:blip r:embed="rId2">
                    <a:extLst>
                      <a:ext uri="{28A0092B-C50C-407E-A947-70E740481C1C}">
                        <a14:useLocalDpi xmlns:a14="http://schemas.microsoft.com/office/drawing/2010/main" val="0"/>
                      </a:ext>
                    </a:extLst>
                  </a:blip>
                  <a:srcRect t="1669" b="1669"/>
                  <a:stretch>
                    <a:fillRect/>
                  </a:stretch>
                </pic:blipFill>
                <pic:spPr bwMode="auto">
                  <a:xfrm>
                    <a:off x="0" y="0"/>
                    <a:ext cx="1928267" cy="557100"/>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2FF5F" w14:textId="2384F2AE" w:rsidR="00760990" w:rsidRDefault="00760990" w:rsidP="00FF1DDF">
    <w:pPr>
      <w:pStyle w:val="Nagwek"/>
      <w:tabs>
        <w:tab w:val="left" w:pos="368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92268"/>
    <w:multiLevelType w:val="hybridMultilevel"/>
    <w:tmpl w:val="9BC0A0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B88025A"/>
    <w:multiLevelType w:val="hybridMultilevel"/>
    <w:tmpl w:val="ACEA2E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0733B51"/>
    <w:multiLevelType w:val="hybridMultilevel"/>
    <w:tmpl w:val="964C55A6"/>
    <w:lvl w:ilvl="0" w:tplc="9C420E50">
      <w:start w:val="1"/>
      <w:numFmt w:val="decimal"/>
      <w:lvlText w:val="%1."/>
      <w:lvlJc w:val="left"/>
      <w:pPr>
        <w:tabs>
          <w:tab w:val="num" w:pos="720"/>
        </w:tabs>
        <w:ind w:left="720" w:hanging="360"/>
      </w:pPr>
      <w:rPr>
        <w:rFonts w:cs="Times New Roman"/>
      </w:rPr>
    </w:lvl>
    <w:lvl w:ilvl="1" w:tplc="554EFA38">
      <w:start w:val="1"/>
      <w:numFmt w:val="lowerLetter"/>
      <w:lvlText w:val="%2."/>
      <w:lvlJc w:val="left"/>
      <w:pPr>
        <w:tabs>
          <w:tab w:val="num" w:pos="1440"/>
        </w:tabs>
        <w:ind w:left="1440" w:hanging="360"/>
      </w:pPr>
      <w:rPr>
        <w:rFonts w:cs="Times New Roman"/>
      </w:rPr>
    </w:lvl>
    <w:lvl w:ilvl="2" w:tplc="CE285CBC">
      <w:start w:val="1"/>
      <w:numFmt w:val="lowerRoman"/>
      <w:lvlText w:val="%3."/>
      <w:lvlJc w:val="right"/>
      <w:pPr>
        <w:tabs>
          <w:tab w:val="num" w:pos="2160"/>
        </w:tabs>
        <w:ind w:left="2160" w:hanging="180"/>
      </w:pPr>
      <w:rPr>
        <w:rFonts w:cs="Times New Roman"/>
      </w:rPr>
    </w:lvl>
    <w:lvl w:ilvl="3" w:tplc="F432CD76">
      <w:start w:val="1"/>
      <w:numFmt w:val="decimal"/>
      <w:lvlText w:val="%4."/>
      <w:lvlJc w:val="left"/>
      <w:pPr>
        <w:tabs>
          <w:tab w:val="num" w:pos="2880"/>
        </w:tabs>
        <w:ind w:left="2880" w:hanging="360"/>
      </w:pPr>
      <w:rPr>
        <w:rFonts w:cs="Times New Roman"/>
      </w:rPr>
    </w:lvl>
    <w:lvl w:ilvl="4" w:tplc="CFF8FE0A">
      <w:start w:val="1"/>
      <w:numFmt w:val="lowerLetter"/>
      <w:lvlText w:val="%5."/>
      <w:lvlJc w:val="left"/>
      <w:pPr>
        <w:tabs>
          <w:tab w:val="num" w:pos="3600"/>
        </w:tabs>
        <w:ind w:left="3600" w:hanging="360"/>
      </w:pPr>
      <w:rPr>
        <w:rFonts w:cs="Times New Roman"/>
      </w:rPr>
    </w:lvl>
    <w:lvl w:ilvl="5" w:tplc="94108DE0">
      <w:start w:val="1"/>
      <w:numFmt w:val="lowerRoman"/>
      <w:lvlText w:val="%6."/>
      <w:lvlJc w:val="right"/>
      <w:pPr>
        <w:tabs>
          <w:tab w:val="num" w:pos="4320"/>
        </w:tabs>
        <w:ind w:left="4320" w:hanging="180"/>
      </w:pPr>
      <w:rPr>
        <w:rFonts w:cs="Times New Roman"/>
      </w:rPr>
    </w:lvl>
    <w:lvl w:ilvl="6" w:tplc="69C40440">
      <w:start w:val="1"/>
      <w:numFmt w:val="decimal"/>
      <w:lvlText w:val="%7."/>
      <w:lvlJc w:val="left"/>
      <w:pPr>
        <w:tabs>
          <w:tab w:val="num" w:pos="5040"/>
        </w:tabs>
        <w:ind w:left="5040" w:hanging="360"/>
      </w:pPr>
      <w:rPr>
        <w:rFonts w:cs="Times New Roman"/>
      </w:rPr>
    </w:lvl>
    <w:lvl w:ilvl="7" w:tplc="47EA324A">
      <w:start w:val="1"/>
      <w:numFmt w:val="lowerLetter"/>
      <w:lvlText w:val="%8."/>
      <w:lvlJc w:val="left"/>
      <w:pPr>
        <w:tabs>
          <w:tab w:val="num" w:pos="5760"/>
        </w:tabs>
        <w:ind w:left="5760" w:hanging="360"/>
      </w:pPr>
      <w:rPr>
        <w:rFonts w:cs="Times New Roman"/>
      </w:rPr>
    </w:lvl>
    <w:lvl w:ilvl="8" w:tplc="D1567CE6">
      <w:start w:val="1"/>
      <w:numFmt w:val="lowerRoman"/>
      <w:lvlText w:val="%9."/>
      <w:lvlJc w:val="right"/>
      <w:pPr>
        <w:tabs>
          <w:tab w:val="num" w:pos="6480"/>
        </w:tabs>
        <w:ind w:left="6480" w:hanging="180"/>
      </w:pPr>
      <w:rPr>
        <w:rFonts w:cs="Times New Roman"/>
      </w:rPr>
    </w:lvl>
  </w:abstractNum>
  <w:abstractNum w:abstractNumId="3" w15:restartNumberingAfterBreak="0">
    <w:nsid w:val="26220F5E"/>
    <w:multiLevelType w:val="hybridMultilevel"/>
    <w:tmpl w:val="54640F68"/>
    <w:lvl w:ilvl="0" w:tplc="11E83BB6">
      <w:start w:val="1"/>
      <w:numFmt w:val="decimal"/>
      <w:lvlText w:val="%1."/>
      <w:lvlJc w:val="left"/>
      <w:pPr>
        <w:tabs>
          <w:tab w:val="num" w:pos="720"/>
        </w:tabs>
        <w:ind w:left="720" w:hanging="360"/>
      </w:pPr>
      <w:rPr>
        <w:rFonts w:cs="Times New Roman"/>
      </w:rPr>
    </w:lvl>
    <w:lvl w:ilvl="1" w:tplc="0752364C">
      <w:start w:val="1"/>
      <w:numFmt w:val="lowerLetter"/>
      <w:lvlText w:val="%2."/>
      <w:lvlJc w:val="left"/>
      <w:pPr>
        <w:tabs>
          <w:tab w:val="num" w:pos="1440"/>
        </w:tabs>
        <w:ind w:left="1440" w:hanging="360"/>
      </w:pPr>
      <w:rPr>
        <w:rFonts w:cs="Times New Roman"/>
      </w:rPr>
    </w:lvl>
    <w:lvl w:ilvl="2" w:tplc="82FC66A0">
      <w:start w:val="1"/>
      <w:numFmt w:val="lowerRoman"/>
      <w:lvlText w:val="%3."/>
      <w:lvlJc w:val="right"/>
      <w:pPr>
        <w:tabs>
          <w:tab w:val="num" w:pos="2160"/>
        </w:tabs>
        <w:ind w:left="2160" w:hanging="180"/>
      </w:pPr>
      <w:rPr>
        <w:rFonts w:cs="Times New Roman"/>
      </w:rPr>
    </w:lvl>
    <w:lvl w:ilvl="3" w:tplc="8B082C54">
      <w:start w:val="1"/>
      <w:numFmt w:val="decimal"/>
      <w:lvlText w:val="%4."/>
      <w:lvlJc w:val="left"/>
      <w:pPr>
        <w:tabs>
          <w:tab w:val="num" w:pos="2880"/>
        </w:tabs>
        <w:ind w:left="2880" w:hanging="360"/>
      </w:pPr>
      <w:rPr>
        <w:rFonts w:cs="Times New Roman"/>
      </w:rPr>
    </w:lvl>
    <w:lvl w:ilvl="4" w:tplc="1A64E346">
      <w:start w:val="1"/>
      <w:numFmt w:val="lowerLetter"/>
      <w:lvlText w:val="%5."/>
      <w:lvlJc w:val="left"/>
      <w:pPr>
        <w:tabs>
          <w:tab w:val="num" w:pos="3600"/>
        </w:tabs>
        <w:ind w:left="3600" w:hanging="360"/>
      </w:pPr>
      <w:rPr>
        <w:rFonts w:cs="Times New Roman"/>
      </w:rPr>
    </w:lvl>
    <w:lvl w:ilvl="5" w:tplc="870EBA16">
      <w:start w:val="1"/>
      <w:numFmt w:val="lowerRoman"/>
      <w:lvlText w:val="%6."/>
      <w:lvlJc w:val="right"/>
      <w:pPr>
        <w:tabs>
          <w:tab w:val="num" w:pos="4320"/>
        </w:tabs>
        <w:ind w:left="4320" w:hanging="180"/>
      </w:pPr>
      <w:rPr>
        <w:rFonts w:cs="Times New Roman"/>
      </w:rPr>
    </w:lvl>
    <w:lvl w:ilvl="6" w:tplc="73784EFC">
      <w:start w:val="1"/>
      <w:numFmt w:val="decimal"/>
      <w:lvlText w:val="%7."/>
      <w:lvlJc w:val="left"/>
      <w:pPr>
        <w:tabs>
          <w:tab w:val="num" w:pos="5040"/>
        </w:tabs>
        <w:ind w:left="5040" w:hanging="360"/>
      </w:pPr>
      <w:rPr>
        <w:rFonts w:cs="Times New Roman"/>
      </w:rPr>
    </w:lvl>
    <w:lvl w:ilvl="7" w:tplc="7D5CB2A6">
      <w:start w:val="1"/>
      <w:numFmt w:val="lowerLetter"/>
      <w:lvlText w:val="%8."/>
      <w:lvlJc w:val="left"/>
      <w:pPr>
        <w:tabs>
          <w:tab w:val="num" w:pos="5760"/>
        </w:tabs>
        <w:ind w:left="5760" w:hanging="360"/>
      </w:pPr>
      <w:rPr>
        <w:rFonts w:cs="Times New Roman"/>
      </w:rPr>
    </w:lvl>
    <w:lvl w:ilvl="8" w:tplc="FB9A0230">
      <w:start w:val="1"/>
      <w:numFmt w:val="lowerRoman"/>
      <w:lvlText w:val="%9."/>
      <w:lvlJc w:val="right"/>
      <w:pPr>
        <w:tabs>
          <w:tab w:val="num" w:pos="6480"/>
        </w:tabs>
        <w:ind w:left="6480" w:hanging="180"/>
      </w:pPr>
      <w:rPr>
        <w:rFonts w:cs="Times New Roman"/>
      </w:rPr>
    </w:lvl>
  </w:abstractNum>
  <w:abstractNum w:abstractNumId="4" w15:restartNumberingAfterBreak="0">
    <w:nsid w:val="26821205"/>
    <w:multiLevelType w:val="hybridMultilevel"/>
    <w:tmpl w:val="41F0FF6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0D80E5B"/>
    <w:multiLevelType w:val="hybridMultilevel"/>
    <w:tmpl w:val="3C9476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6830394"/>
    <w:multiLevelType w:val="hybridMultilevel"/>
    <w:tmpl w:val="C36EC586"/>
    <w:lvl w:ilvl="0" w:tplc="54CEF890">
      <w:start w:val="1"/>
      <w:numFmt w:val="bullet"/>
      <w:lvlText w:val=""/>
      <w:lvlJc w:val="left"/>
      <w:pPr>
        <w:ind w:left="1069" w:hanging="360"/>
      </w:pPr>
      <w:rPr>
        <w:rFonts w:ascii="Symbol" w:hAnsi="Symbol" w:hint="default"/>
      </w:rPr>
    </w:lvl>
    <w:lvl w:ilvl="1" w:tplc="54FE0BCA" w:tentative="1">
      <w:start w:val="1"/>
      <w:numFmt w:val="bullet"/>
      <w:lvlText w:val="o"/>
      <w:lvlJc w:val="left"/>
      <w:pPr>
        <w:ind w:left="1789" w:hanging="360"/>
      </w:pPr>
      <w:rPr>
        <w:rFonts w:ascii="Courier New" w:hAnsi="Courier New" w:cs="Courier New" w:hint="default"/>
      </w:rPr>
    </w:lvl>
    <w:lvl w:ilvl="2" w:tplc="92F42192" w:tentative="1">
      <w:start w:val="1"/>
      <w:numFmt w:val="bullet"/>
      <w:lvlText w:val=""/>
      <w:lvlJc w:val="left"/>
      <w:pPr>
        <w:ind w:left="2509" w:hanging="360"/>
      </w:pPr>
      <w:rPr>
        <w:rFonts w:ascii="Wingdings" w:hAnsi="Wingdings" w:hint="default"/>
      </w:rPr>
    </w:lvl>
    <w:lvl w:ilvl="3" w:tplc="2F2AAFC6" w:tentative="1">
      <w:start w:val="1"/>
      <w:numFmt w:val="bullet"/>
      <w:lvlText w:val=""/>
      <w:lvlJc w:val="left"/>
      <w:pPr>
        <w:ind w:left="3229" w:hanging="360"/>
      </w:pPr>
      <w:rPr>
        <w:rFonts w:ascii="Symbol" w:hAnsi="Symbol" w:hint="default"/>
      </w:rPr>
    </w:lvl>
    <w:lvl w:ilvl="4" w:tplc="BA549AF0" w:tentative="1">
      <w:start w:val="1"/>
      <w:numFmt w:val="bullet"/>
      <w:lvlText w:val="o"/>
      <w:lvlJc w:val="left"/>
      <w:pPr>
        <w:ind w:left="3949" w:hanging="360"/>
      </w:pPr>
      <w:rPr>
        <w:rFonts w:ascii="Courier New" w:hAnsi="Courier New" w:cs="Courier New" w:hint="default"/>
      </w:rPr>
    </w:lvl>
    <w:lvl w:ilvl="5" w:tplc="96608BE4" w:tentative="1">
      <w:start w:val="1"/>
      <w:numFmt w:val="bullet"/>
      <w:lvlText w:val=""/>
      <w:lvlJc w:val="left"/>
      <w:pPr>
        <w:ind w:left="4669" w:hanging="360"/>
      </w:pPr>
      <w:rPr>
        <w:rFonts w:ascii="Wingdings" w:hAnsi="Wingdings" w:hint="default"/>
      </w:rPr>
    </w:lvl>
    <w:lvl w:ilvl="6" w:tplc="40AEBC70" w:tentative="1">
      <w:start w:val="1"/>
      <w:numFmt w:val="bullet"/>
      <w:lvlText w:val=""/>
      <w:lvlJc w:val="left"/>
      <w:pPr>
        <w:ind w:left="5389" w:hanging="360"/>
      </w:pPr>
      <w:rPr>
        <w:rFonts w:ascii="Symbol" w:hAnsi="Symbol" w:hint="default"/>
      </w:rPr>
    </w:lvl>
    <w:lvl w:ilvl="7" w:tplc="A0126AEA" w:tentative="1">
      <w:start w:val="1"/>
      <w:numFmt w:val="bullet"/>
      <w:lvlText w:val="o"/>
      <w:lvlJc w:val="left"/>
      <w:pPr>
        <w:ind w:left="6109" w:hanging="360"/>
      </w:pPr>
      <w:rPr>
        <w:rFonts w:ascii="Courier New" w:hAnsi="Courier New" w:cs="Courier New" w:hint="default"/>
      </w:rPr>
    </w:lvl>
    <w:lvl w:ilvl="8" w:tplc="F43C5274" w:tentative="1">
      <w:start w:val="1"/>
      <w:numFmt w:val="bullet"/>
      <w:lvlText w:val=""/>
      <w:lvlJc w:val="left"/>
      <w:pPr>
        <w:ind w:left="6829" w:hanging="360"/>
      </w:pPr>
      <w:rPr>
        <w:rFonts w:ascii="Wingdings" w:hAnsi="Wingdings" w:hint="default"/>
      </w:rPr>
    </w:lvl>
  </w:abstractNum>
  <w:abstractNum w:abstractNumId="7" w15:restartNumberingAfterBreak="0">
    <w:nsid w:val="37E80FFB"/>
    <w:multiLevelType w:val="hybridMultilevel"/>
    <w:tmpl w:val="D7903224"/>
    <w:lvl w:ilvl="0" w:tplc="94FE4440">
      <w:start w:val="1"/>
      <w:numFmt w:val="decimal"/>
      <w:lvlText w:val="%1."/>
      <w:lvlJc w:val="left"/>
      <w:pPr>
        <w:ind w:left="1070" w:hanging="7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21B5073"/>
    <w:multiLevelType w:val="hybridMultilevel"/>
    <w:tmpl w:val="26E0CE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9FB6DF6"/>
    <w:multiLevelType w:val="hybridMultilevel"/>
    <w:tmpl w:val="6F84ACE6"/>
    <w:lvl w:ilvl="0" w:tplc="A708542E">
      <w:start w:val="1"/>
      <w:numFmt w:val="decimal"/>
      <w:lvlText w:val="%1."/>
      <w:lvlJc w:val="left"/>
      <w:pPr>
        <w:ind w:left="1429" w:hanging="360"/>
      </w:pPr>
    </w:lvl>
    <w:lvl w:ilvl="1" w:tplc="CDB4FD72" w:tentative="1">
      <w:start w:val="1"/>
      <w:numFmt w:val="lowerLetter"/>
      <w:lvlText w:val="%2."/>
      <w:lvlJc w:val="left"/>
      <w:pPr>
        <w:ind w:left="2149" w:hanging="360"/>
      </w:pPr>
    </w:lvl>
    <w:lvl w:ilvl="2" w:tplc="968AD9E0" w:tentative="1">
      <w:start w:val="1"/>
      <w:numFmt w:val="lowerRoman"/>
      <w:lvlText w:val="%3."/>
      <w:lvlJc w:val="right"/>
      <w:pPr>
        <w:ind w:left="2869" w:hanging="180"/>
      </w:pPr>
    </w:lvl>
    <w:lvl w:ilvl="3" w:tplc="17E03168" w:tentative="1">
      <w:start w:val="1"/>
      <w:numFmt w:val="decimal"/>
      <w:lvlText w:val="%4."/>
      <w:lvlJc w:val="left"/>
      <w:pPr>
        <w:ind w:left="3589" w:hanging="360"/>
      </w:pPr>
    </w:lvl>
    <w:lvl w:ilvl="4" w:tplc="E9E225A6" w:tentative="1">
      <w:start w:val="1"/>
      <w:numFmt w:val="lowerLetter"/>
      <w:lvlText w:val="%5."/>
      <w:lvlJc w:val="left"/>
      <w:pPr>
        <w:ind w:left="4309" w:hanging="360"/>
      </w:pPr>
    </w:lvl>
    <w:lvl w:ilvl="5" w:tplc="BB7AEC0E" w:tentative="1">
      <w:start w:val="1"/>
      <w:numFmt w:val="lowerRoman"/>
      <w:lvlText w:val="%6."/>
      <w:lvlJc w:val="right"/>
      <w:pPr>
        <w:ind w:left="5029" w:hanging="180"/>
      </w:pPr>
    </w:lvl>
    <w:lvl w:ilvl="6" w:tplc="6B7E29C2" w:tentative="1">
      <w:start w:val="1"/>
      <w:numFmt w:val="decimal"/>
      <w:lvlText w:val="%7."/>
      <w:lvlJc w:val="left"/>
      <w:pPr>
        <w:ind w:left="5749" w:hanging="360"/>
      </w:pPr>
    </w:lvl>
    <w:lvl w:ilvl="7" w:tplc="83D28018" w:tentative="1">
      <w:start w:val="1"/>
      <w:numFmt w:val="lowerLetter"/>
      <w:lvlText w:val="%8."/>
      <w:lvlJc w:val="left"/>
      <w:pPr>
        <w:ind w:left="6469" w:hanging="360"/>
      </w:pPr>
    </w:lvl>
    <w:lvl w:ilvl="8" w:tplc="A76C492C" w:tentative="1">
      <w:start w:val="1"/>
      <w:numFmt w:val="lowerRoman"/>
      <w:lvlText w:val="%9."/>
      <w:lvlJc w:val="right"/>
      <w:pPr>
        <w:ind w:left="7189" w:hanging="180"/>
      </w:pPr>
    </w:lvl>
  </w:abstractNum>
  <w:abstractNum w:abstractNumId="10" w15:restartNumberingAfterBreak="0">
    <w:nsid w:val="4E3506B7"/>
    <w:multiLevelType w:val="hybridMultilevel"/>
    <w:tmpl w:val="41F0FF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A4A0EC7"/>
    <w:multiLevelType w:val="hybridMultilevel"/>
    <w:tmpl w:val="1046AE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32301CA"/>
    <w:multiLevelType w:val="hybridMultilevel"/>
    <w:tmpl w:val="A1F0DF3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7224AD3"/>
    <w:multiLevelType w:val="hybridMultilevel"/>
    <w:tmpl w:val="7002571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EDF2B6E"/>
    <w:multiLevelType w:val="hybridMultilevel"/>
    <w:tmpl w:val="9C505A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1EF40B3"/>
    <w:multiLevelType w:val="hybridMultilevel"/>
    <w:tmpl w:val="99AE46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2772175"/>
    <w:multiLevelType w:val="hybridMultilevel"/>
    <w:tmpl w:val="91A038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4390079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4902067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83521561">
    <w:abstractNumId w:val="9"/>
  </w:num>
  <w:num w:numId="4" w16cid:durableId="907615826">
    <w:abstractNumId w:val="6"/>
  </w:num>
  <w:num w:numId="5" w16cid:durableId="397635744">
    <w:abstractNumId w:val="15"/>
  </w:num>
  <w:num w:numId="6" w16cid:durableId="1648318210">
    <w:abstractNumId w:val="13"/>
  </w:num>
  <w:num w:numId="7" w16cid:durableId="331833269">
    <w:abstractNumId w:val="14"/>
  </w:num>
  <w:num w:numId="8" w16cid:durableId="162362834">
    <w:abstractNumId w:val="0"/>
  </w:num>
  <w:num w:numId="9" w16cid:durableId="493955748">
    <w:abstractNumId w:val="1"/>
  </w:num>
  <w:num w:numId="10" w16cid:durableId="1613436086">
    <w:abstractNumId w:val="12"/>
  </w:num>
  <w:num w:numId="11" w16cid:durableId="7873616">
    <w:abstractNumId w:val="8"/>
  </w:num>
  <w:num w:numId="12" w16cid:durableId="1726102718">
    <w:abstractNumId w:val="16"/>
  </w:num>
  <w:num w:numId="13" w16cid:durableId="333580693">
    <w:abstractNumId w:val="11"/>
  </w:num>
  <w:num w:numId="14" w16cid:durableId="1335911795">
    <w:abstractNumId w:val="7"/>
  </w:num>
  <w:num w:numId="15" w16cid:durableId="736320308">
    <w:abstractNumId w:val="5"/>
  </w:num>
  <w:num w:numId="16" w16cid:durableId="1160580737">
    <w:abstractNumId w:val="4"/>
  </w:num>
  <w:num w:numId="17" w16cid:durableId="130026355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rawingGridHorizontalSpacing w:val="6"/>
  <w:drawingGridVerticalSpacing w:val="6"/>
  <w:doNotShadeFormData/>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22E2"/>
    <w:rsid w:val="00001903"/>
    <w:rsid w:val="00010FC6"/>
    <w:rsid w:val="0004603C"/>
    <w:rsid w:val="00065C40"/>
    <w:rsid w:val="000923D4"/>
    <w:rsid w:val="00094EF6"/>
    <w:rsid w:val="000A73E2"/>
    <w:rsid w:val="000D15AC"/>
    <w:rsid w:val="000E21EF"/>
    <w:rsid w:val="000E45A5"/>
    <w:rsid w:val="0010162A"/>
    <w:rsid w:val="00146FCE"/>
    <w:rsid w:val="001561C5"/>
    <w:rsid w:val="00200170"/>
    <w:rsid w:val="00214307"/>
    <w:rsid w:val="00215DEF"/>
    <w:rsid w:val="002571F6"/>
    <w:rsid w:val="002B08FC"/>
    <w:rsid w:val="002B40F4"/>
    <w:rsid w:val="002D66BB"/>
    <w:rsid w:val="002E6BDD"/>
    <w:rsid w:val="002F66E8"/>
    <w:rsid w:val="00310274"/>
    <w:rsid w:val="003134FE"/>
    <w:rsid w:val="003165EB"/>
    <w:rsid w:val="0032350E"/>
    <w:rsid w:val="003816DA"/>
    <w:rsid w:val="00385FFB"/>
    <w:rsid w:val="003D620D"/>
    <w:rsid w:val="00412555"/>
    <w:rsid w:val="0042606F"/>
    <w:rsid w:val="00482EA3"/>
    <w:rsid w:val="004844AD"/>
    <w:rsid w:val="004E5087"/>
    <w:rsid w:val="004E62F6"/>
    <w:rsid w:val="00504000"/>
    <w:rsid w:val="005115C2"/>
    <w:rsid w:val="0058722E"/>
    <w:rsid w:val="005A056A"/>
    <w:rsid w:val="005B7917"/>
    <w:rsid w:val="005E22E2"/>
    <w:rsid w:val="0066480C"/>
    <w:rsid w:val="00670180"/>
    <w:rsid w:val="006760F1"/>
    <w:rsid w:val="006C26AA"/>
    <w:rsid w:val="006D19B4"/>
    <w:rsid w:val="006E040C"/>
    <w:rsid w:val="007021C9"/>
    <w:rsid w:val="007077F2"/>
    <w:rsid w:val="00735813"/>
    <w:rsid w:val="00760990"/>
    <w:rsid w:val="00761B48"/>
    <w:rsid w:val="00780D75"/>
    <w:rsid w:val="00811A25"/>
    <w:rsid w:val="0083517F"/>
    <w:rsid w:val="0083652B"/>
    <w:rsid w:val="00863D3F"/>
    <w:rsid w:val="0088784C"/>
    <w:rsid w:val="008B2E44"/>
    <w:rsid w:val="008C4DE6"/>
    <w:rsid w:val="008D7C6A"/>
    <w:rsid w:val="00924460"/>
    <w:rsid w:val="009823C9"/>
    <w:rsid w:val="009906BC"/>
    <w:rsid w:val="009A5797"/>
    <w:rsid w:val="009B56F9"/>
    <w:rsid w:val="009B7B29"/>
    <w:rsid w:val="00A228FA"/>
    <w:rsid w:val="00A25198"/>
    <w:rsid w:val="00A27692"/>
    <w:rsid w:val="00A32D5A"/>
    <w:rsid w:val="00A34049"/>
    <w:rsid w:val="00A40375"/>
    <w:rsid w:val="00A42564"/>
    <w:rsid w:val="00A834F4"/>
    <w:rsid w:val="00A8394D"/>
    <w:rsid w:val="00A955D5"/>
    <w:rsid w:val="00A97B93"/>
    <w:rsid w:val="00AD274B"/>
    <w:rsid w:val="00AE404F"/>
    <w:rsid w:val="00AF3CB9"/>
    <w:rsid w:val="00AF4EB4"/>
    <w:rsid w:val="00B02C1C"/>
    <w:rsid w:val="00B066B2"/>
    <w:rsid w:val="00B351C5"/>
    <w:rsid w:val="00B371AE"/>
    <w:rsid w:val="00B37C91"/>
    <w:rsid w:val="00B546E9"/>
    <w:rsid w:val="00B610D7"/>
    <w:rsid w:val="00B615FE"/>
    <w:rsid w:val="00B619ED"/>
    <w:rsid w:val="00B673BB"/>
    <w:rsid w:val="00B82EF6"/>
    <w:rsid w:val="00BC79CC"/>
    <w:rsid w:val="00BE5E66"/>
    <w:rsid w:val="00BF5F1F"/>
    <w:rsid w:val="00C029AA"/>
    <w:rsid w:val="00C06AC7"/>
    <w:rsid w:val="00C0733F"/>
    <w:rsid w:val="00C13123"/>
    <w:rsid w:val="00C14A13"/>
    <w:rsid w:val="00C24F21"/>
    <w:rsid w:val="00C3461A"/>
    <w:rsid w:val="00C41A18"/>
    <w:rsid w:val="00C45767"/>
    <w:rsid w:val="00C6529D"/>
    <w:rsid w:val="00C965EE"/>
    <w:rsid w:val="00CA4211"/>
    <w:rsid w:val="00CA518A"/>
    <w:rsid w:val="00CB53C1"/>
    <w:rsid w:val="00CC431D"/>
    <w:rsid w:val="00CF1AB9"/>
    <w:rsid w:val="00DC0C56"/>
    <w:rsid w:val="00DD59C4"/>
    <w:rsid w:val="00DF704B"/>
    <w:rsid w:val="00E1663C"/>
    <w:rsid w:val="00E81AAD"/>
    <w:rsid w:val="00E82DDD"/>
    <w:rsid w:val="00EA5546"/>
    <w:rsid w:val="00EB7791"/>
    <w:rsid w:val="00EE312E"/>
    <w:rsid w:val="00F35DA7"/>
    <w:rsid w:val="00F6134F"/>
    <w:rsid w:val="00F753C2"/>
    <w:rsid w:val="00F8620F"/>
    <w:rsid w:val="00FE3AD8"/>
    <w:rsid w:val="00FF5508"/>
    <w:rsid w:val="00FF6E39"/>
    <w:rsid w:val="19FE97CD"/>
    <w:rsid w:val="216D5C30"/>
    <w:rsid w:val="24222710"/>
    <w:rsid w:val="24445FC9"/>
    <w:rsid w:val="28F1233D"/>
    <w:rsid w:val="301DDDA6"/>
    <w:rsid w:val="31AA35B8"/>
    <w:rsid w:val="3D26F8F0"/>
    <w:rsid w:val="3E8675DF"/>
    <w:rsid w:val="4B98E30B"/>
    <w:rsid w:val="4CB78FD5"/>
    <w:rsid w:val="4D3B81E2"/>
    <w:rsid w:val="52A53500"/>
    <w:rsid w:val="576182DA"/>
    <w:rsid w:val="590BB457"/>
    <w:rsid w:val="5B45B5AD"/>
    <w:rsid w:val="661B3C3D"/>
    <w:rsid w:val="7A319AF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A5B47E"/>
  <w15:docId w15:val="{232BE925-66E4-4120-B108-06173DC8F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4"/>
        <w:szCs w:val="24"/>
        <w:lang w:val="pl-PL"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82EA3"/>
    <w:pPr>
      <w:spacing w:before="360" w:after="360" w:line="360" w:lineRule="auto"/>
    </w:pPr>
  </w:style>
  <w:style w:type="paragraph" w:styleId="Nagwek1">
    <w:name w:val="heading 1"/>
    <w:basedOn w:val="Normalny"/>
    <w:next w:val="Normalny"/>
    <w:link w:val="Nagwek1Znak"/>
    <w:qFormat/>
    <w:rsid w:val="00482EA3"/>
    <w:pPr>
      <w:keepNext/>
      <w:keepLines/>
      <w:spacing w:line="276" w:lineRule="auto"/>
      <w:outlineLvl w:val="0"/>
    </w:pPr>
    <w:rPr>
      <w:rFonts w:eastAsiaTheme="majorEastAsia" w:cstheme="majorBidi"/>
      <w:b/>
      <w:bCs/>
      <w:sz w:val="26"/>
      <w:szCs w:val="28"/>
    </w:rPr>
  </w:style>
  <w:style w:type="paragraph" w:styleId="Nagwek2">
    <w:name w:val="heading 2"/>
    <w:basedOn w:val="Normalny"/>
    <w:next w:val="Normalny"/>
    <w:link w:val="Nagwek2Znak"/>
    <w:unhideWhenUsed/>
    <w:qFormat/>
    <w:rsid w:val="00482EA3"/>
    <w:pPr>
      <w:keepNext/>
      <w:keepLines/>
      <w:spacing w:line="276" w:lineRule="auto"/>
      <w:outlineLvl w:val="1"/>
    </w:pPr>
    <w:rPr>
      <w:rFonts w:eastAsiaTheme="majorEastAsia" w:cstheme="majorBidi"/>
      <w:b/>
      <w:szCs w:val="26"/>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777876"/>
    <w:pPr>
      <w:tabs>
        <w:tab w:val="center" w:pos="4536"/>
        <w:tab w:val="right" w:pos="9072"/>
      </w:tabs>
    </w:pPr>
  </w:style>
  <w:style w:type="paragraph" w:styleId="Stopka">
    <w:name w:val="footer"/>
    <w:basedOn w:val="Normalny"/>
    <w:link w:val="StopkaZnak"/>
    <w:uiPriority w:val="99"/>
    <w:rsid w:val="00777876"/>
    <w:pPr>
      <w:tabs>
        <w:tab w:val="center" w:pos="4536"/>
        <w:tab w:val="right" w:pos="9072"/>
      </w:tabs>
    </w:pPr>
  </w:style>
  <w:style w:type="paragraph" w:styleId="Mapadokumentu">
    <w:name w:val="Document Map"/>
    <w:aliases w:val="Plan dokumentu"/>
    <w:basedOn w:val="Normalny"/>
    <w:semiHidden/>
    <w:rsid w:val="0077374E"/>
    <w:pPr>
      <w:shd w:val="clear" w:color="auto" w:fill="000080"/>
    </w:pPr>
    <w:rPr>
      <w:rFonts w:ascii="Tahoma" w:hAnsi="Tahoma" w:cs="Tahoma"/>
      <w:sz w:val="20"/>
      <w:szCs w:val="20"/>
    </w:rPr>
  </w:style>
  <w:style w:type="paragraph" w:styleId="Tekstdymka">
    <w:name w:val="Balloon Text"/>
    <w:basedOn w:val="Normalny"/>
    <w:semiHidden/>
    <w:rsid w:val="00343996"/>
    <w:rPr>
      <w:rFonts w:ascii="Tahoma" w:hAnsi="Tahoma" w:cs="Tahoma"/>
      <w:sz w:val="16"/>
      <w:szCs w:val="16"/>
    </w:rPr>
  </w:style>
  <w:style w:type="character" w:styleId="Numerstrony">
    <w:name w:val="page number"/>
    <w:basedOn w:val="Domylnaczcionkaakapitu"/>
    <w:rsid w:val="00CB0F0D"/>
  </w:style>
  <w:style w:type="character" w:styleId="Pogrubienie">
    <w:name w:val="Strong"/>
    <w:uiPriority w:val="22"/>
    <w:rsid w:val="00EF30F0"/>
    <w:rPr>
      <w:b/>
      <w:bCs/>
    </w:rPr>
  </w:style>
  <w:style w:type="table" w:styleId="Tabela-Siatka">
    <w:name w:val="Table Grid"/>
    <w:basedOn w:val="Standardowy"/>
    <w:rsid w:val="00463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rsid w:val="00482EA3"/>
    <w:rPr>
      <w:rFonts w:eastAsiaTheme="majorEastAsia" w:cstheme="majorBidi"/>
      <w:b/>
      <w:bCs/>
      <w:sz w:val="26"/>
      <w:szCs w:val="28"/>
    </w:rPr>
  </w:style>
  <w:style w:type="paragraph" w:styleId="Akapitzlist">
    <w:name w:val="List Paragraph"/>
    <w:basedOn w:val="Normalny"/>
    <w:uiPriority w:val="34"/>
    <w:qFormat/>
    <w:rsid w:val="00EE312E"/>
    <w:pPr>
      <w:ind w:left="720"/>
      <w:contextualSpacing/>
    </w:pPr>
  </w:style>
  <w:style w:type="character" w:styleId="Hipercze">
    <w:name w:val="Hyperlink"/>
    <w:basedOn w:val="Domylnaczcionkaakapitu"/>
    <w:unhideWhenUsed/>
    <w:rsid w:val="008531D2"/>
    <w:rPr>
      <w:color w:val="0563C1" w:themeColor="hyperlink"/>
      <w:u w:val="single"/>
    </w:rPr>
  </w:style>
  <w:style w:type="character" w:styleId="Odwoaniedokomentarza">
    <w:name w:val="annotation reference"/>
    <w:basedOn w:val="Domylnaczcionkaakapitu"/>
    <w:semiHidden/>
    <w:unhideWhenUsed/>
    <w:rsid w:val="002E4CEF"/>
    <w:rPr>
      <w:sz w:val="16"/>
      <w:szCs w:val="16"/>
    </w:rPr>
  </w:style>
  <w:style w:type="paragraph" w:styleId="Tekstkomentarza">
    <w:name w:val="annotation text"/>
    <w:basedOn w:val="Normalny"/>
    <w:link w:val="TekstkomentarzaZnak"/>
    <w:unhideWhenUsed/>
    <w:rsid w:val="002E4CEF"/>
    <w:rPr>
      <w:sz w:val="20"/>
      <w:szCs w:val="20"/>
    </w:rPr>
  </w:style>
  <w:style w:type="character" w:customStyle="1" w:styleId="TekstkomentarzaZnak">
    <w:name w:val="Tekst komentarza Znak"/>
    <w:basedOn w:val="Domylnaczcionkaakapitu"/>
    <w:link w:val="Tekstkomentarza"/>
    <w:rsid w:val="002E4CEF"/>
    <w:rPr>
      <w:lang w:val="pl-PL" w:eastAsia="pl-PL"/>
    </w:rPr>
  </w:style>
  <w:style w:type="paragraph" w:styleId="Tematkomentarza">
    <w:name w:val="annotation subject"/>
    <w:basedOn w:val="Tekstkomentarza"/>
    <w:next w:val="Tekstkomentarza"/>
    <w:link w:val="TematkomentarzaZnak"/>
    <w:semiHidden/>
    <w:unhideWhenUsed/>
    <w:rsid w:val="002E4CEF"/>
    <w:rPr>
      <w:b/>
      <w:bCs/>
    </w:rPr>
  </w:style>
  <w:style w:type="character" w:customStyle="1" w:styleId="TematkomentarzaZnak">
    <w:name w:val="Temat komentarza Znak"/>
    <w:basedOn w:val="TekstkomentarzaZnak"/>
    <w:link w:val="Tematkomentarza"/>
    <w:semiHidden/>
    <w:rsid w:val="002E4CEF"/>
    <w:rPr>
      <w:b/>
      <w:bCs/>
      <w:lang w:val="pl-PL" w:eastAsia="pl-PL"/>
    </w:rPr>
  </w:style>
  <w:style w:type="paragraph" w:styleId="Poprawka">
    <w:name w:val="Revision"/>
    <w:hidden/>
    <w:uiPriority w:val="99"/>
    <w:semiHidden/>
    <w:rsid w:val="00797BBA"/>
    <w:rPr>
      <w:lang w:eastAsia="pl-PL"/>
    </w:rPr>
  </w:style>
  <w:style w:type="character" w:styleId="Tekstzastpczy">
    <w:name w:val="Placeholder Text"/>
    <w:basedOn w:val="Domylnaczcionkaakapitu"/>
    <w:uiPriority w:val="99"/>
    <w:semiHidden/>
    <w:rsid w:val="00994165"/>
    <w:rPr>
      <w:color w:val="808080"/>
    </w:rPr>
  </w:style>
  <w:style w:type="character" w:customStyle="1" w:styleId="StopkaZnak">
    <w:name w:val="Stopka Znak"/>
    <w:basedOn w:val="Domylnaczcionkaakapitu"/>
    <w:link w:val="Stopka"/>
    <w:uiPriority w:val="99"/>
    <w:rsid w:val="00C73093"/>
    <w:rPr>
      <w:sz w:val="24"/>
      <w:szCs w:val="24"/>
      <w:lang w:eastAsia="pl-PL"/>
    </w:rPr>
  </w:style>
  <w:style w:type="character" w:styleId="UyteHipercze">
    <w:name w:val="FollowedHyperlink"/>
    <w:basedOn w:val="Domylnaczcionkaakapitu"/>
    <w:semiHidden/>
    <w:unhideWhenUsed/>
    <w:rsid w:val="006D62C9"/>
    <w:rPr>
      <w:color w:val="954F72" w:themeColor="followedHyperlink"/>
      <w:u w:val="single"/>
    </w:rPr>
  </w:style>
  <w:style w:type="character" w:customStyle="1" w:styleId="NagwekZnak">
    <w:name w:val="Nagłówek Znak"/>
    <w:basedOn w:val="Domylnaczcionkaakapitu"/>
    <w:link w:val="Nagwek"/>
    <w:uiPriority w:val="99"/>
    <w:rsid w:val="00AF3CB9"/>
  </w:style>
  <w:style w:type="character" w:customStyle="1" w:styleId="Nagwek2Znak">
    <w:name w:val="Nagłówek 2 Znak"/>
    <w:basedOn w:val="Domylnaczcionkaakapitu"/>
    <w:link w:val="Nagwek2"/>
    <w:rsid w:val="00482EA3"/>
    <w:rPr>
      <w:rFonts w:eastAsiaTheme="majorEastAsia" w:cstheme="majorBidi"/>
      <w:b/>
      <w:szCs w:val="26"/>
    </w:rPr>
  </w:style>
  <w:style w:type="paragraph" w:styleId="NormalnyWeb">
    <w:name w:val="Normal (Web)"/>
    <w:basedOn w:val="Normalny"/>
    <w:semiHidden/>
    <w:unhideWhenUsed/>
    <w:rsid w:val="00A27692"/>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jp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98E4BE26503C343A8433A76FA809E23" ma:contentTypeVersion="14" ma:contentTypeDescription="Utwórz nowy dokument." ma:contentTypeScope="" ma:versionID="21a724006d980a96f91a89b99e038d28">
  <xsd:schema xmlns:xsd="http://www.w3.org/2001/XMLSchema" xmlns:xs="http://www.w3.org/2001/XMLSchema" xmlns:p="http://schemas.microsoft.com/office/2006/metadata/properties" xmlns:ns2="0dd89f5d-ed21-4c6e-8756-c49d8958fa2c" xmlns:ns3="fee5f0c2-8058-4274-a625-611a6a34604d" targetNamespace="http://schemas.microsoft.com/office/2006/metadata/properties" ma:root="true" ma:fieldsID="380269fbde29fba79be040f86ba3cfaa" ns2:_="" ns3:_="">
    <xsd:import namespace="0dd89f5d-ed21-4c6e-8756-c49d8958fa2c"/>
    <xsd:import namespace="fee5f0c2-8058-4274-a625-611a6a34604d"/>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d89f5d-ed21-4c6e-8756-c49d8958fa2c"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Tagi obrazów" ma:readOnly="false" ma:fieldId="{5cf76f15-5ced-4ddc-b409-7134ff3c332f}" ma:taxonomyMulti="true" ma:sspId="cc6f6cad-d038-4c8c-a53d-3cb4c28787a9"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e5f0c2-8058-4274-a625-611a6a34604d"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08e31eb5-e8b2-4cf5-919b-bc2624734d0e}" ma:internalName="TaxCatchAll" ma:showField="CatchAllData" ma:web="fee5f0c2-8058-4274-a625-611a6a34604d">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fee5f0c2-8058-4274-a625-611a6a34604d" xsi:nil="true"/>
    <lcf76f155ced4ddcb4097134ff3c332f xmlns="0dd89f5d-ed21-4c6e-8756-c49d8958fa2c">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368902-15A0-4705-9842-267C45A4C8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d89f5d-ed21-4c6e-8756-c49d8958fa2c"/>
    <ds:schemaRef ds:uri="fee5f0c2-8058-4274-a625-611a6a346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71C271-FCA8-44BA-84B0-9F7F3758AF3B}">
  <ds:schemaRefs>
    <ds:schemaRef ds:uri="http://schemas.openxmlformats.org/officeDocument/2006/bibliography"/>
  </ds:schemaRefs>
</ds:datastoreItem>
</file>

<file path=customXml/itemProps3.xml><?xml version="1.0" encoding="utf-8"?>
<ds:datastoreItem xmlns:ds="http://schemas.openxmlformats.org/officeDocument/2006/customXml" ds:itemID="{231452AC-8333-44F3-A31A-5E2D265146F8}">
  <ds:schemaRefs>
    <ds:schemaRef ds:uri="http://schemas.microsoft.com/office/2006/metadata/properties"/>
    <ds:schemaRef ds:uri="http://schemas.microsoft.com/office/infopath/2007/PartnerControls"/>
    <ds:schemaRef ds:uri="fee5f0c2-8058-4274-a625-611a6a34604d"/>
    <ds:schemaRef ds:uri="0dd89f5d-ed21-4c6e-8756-c49d8958fa2c"/>
  </ds:schemaRefs>
</ds:datastoreItem>
</file>

<file path=customXml/itemProps4.xml><?xml version="1.0" encoding="utf-8"?>
<ds:datastoreItem xmlns:ds="http://schemas.openxmlformats.org/officeDocument/2006/customXml" ds:itemID="{B52EAB40-1884-4B1B-8BA3-63849A1349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9</Pages>
  <Words>2204</Words>
  <Characters>11639</Characters>
  <Application>Microsoft Office Word</Application>
  <DocSecurity>0</DocSecurity>
  <Lines>1163</Lines>
  <Paragraphs>922</Paragraphs>
  <ScaleCrop>false</ScaleCrop>
  <HeadingPairs>
    <vt:vector size="2" baseType="variant">
      <vt:variant>
        <vt:lpstr>Tytuł</vt:lpstr>
      </vt:variant>
      <vt:variant>
        <vt:i4>1</vt:i4>
      </vt:variant>
    </vt:vector>
  </HeadingPairs>
  <TitlesOfParts>
    <vt:vector size="1" baseType="lpstr">
      <vt:lpstr>Pismo CPPC_FERC</vt:lpstr>
    </vt:vector>
  </TitlesOfParts>
  <Company>MRR</Company>
  <LinksUpToDate>false</LinksUpToDate>
  <CharactersWithSpaces>12921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Pismo CPPC_FERC</dc:title>
  <dc:creator>Soon</dc:creator>
  <cp:lastModifiedBy>Artur Gusta</cp:lastModifiedBy>
  <cp:revision>14</cp:revision>
  <cp:lastPrinted>2018-03-26T09:55:00Z</cp:lastPrinted>
  <dcterms:created xsi:type="dcterms:W3CDTF">2026-03-27T10:56:00Z</dcterms:created>
  <dcterms:modified xsi:type="dcterms:W3CDTF">2026-07-05T19:39:00Z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0x010100D98E4BE26503C343A8433A76FA809E23</vt:lpwstr>
  </property>
  <property fmtid="{D5CDD505-2E9C-101B-9397-08002B2CF9AE}" pid="3" name="MediaServiceImageTags">
    <vt:lpwstr/>
  </property>
</Properties>
</file>