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60526E69" w:rsidR="000A73E2" w:rsidRPr="00B673BB" w:rsidRDefault="00B673BB" w:rsidP="00B673BB">
      <w:pPr>
        <w:jc w:val="right"/>
        <w:rPr>
          <w:rFonts w:ascii="Tahoma" w:hAnsi="Tahoma" w:cs="Tahoma"/>
          <w:b/>
          <w:bCs/>
        </w:rPr>
      </w:pPr>
      <w:r w:rsidRPr="00B673BB">
        <w:rPr>
          <w:rFonts w:ascii="Tahoma" w:hAnsi="Tahoma" w:cs="Tahoma"/>
          <w:b/>
          <w:bCs/>
        </w:rPr>
        <w:t>Załącznik 1</w:t>
      </w:r>
      <w:r w:rsidR="00F77C02">
        <w:rPr>
          <w:rFonts w:ascii="Tahoma" w:hAnsi="Tahoma" w:cs="Tahoma"/>
          <w:b/>
          <w:bCs/>
        </w:rPr>
        <w:t>.</w:t>
      </w:r>
      <w:r w:rsidR="004E6848">
        <w:rPr>
          <w:rFonts w:ascii="Tahoma" w:hAnsi="Tahoma" w:cs="Tahoma"/>
          <w:b/>
          <w:bCs/>
        </w:rPr>
        <w:t>20</w:t>
      </w:r>
    </w:p>
    <w:p w14:paraId="19B52394" w14:textId="0ADB44D5" w:rsidR="00200170" w:rsidRDefault="00ED1F95" w:rsidP="000A73E2">
      <w:pPr>
        <w:rPr>
          <w:rFonts w:ascii="Tahoma" w:hAnsi="Tahoma" w:cs="Tahoma"/>
          <w:b/>
          <w:bCs/>
        </w:rPr>
      </w:pPr>
      <w:r w:rsidRPr="00ED1F95">
        <w:rPr>
          <w:rFonts w:ascii="Tahoma" w:hAnsi="Tahoma" w:cs="Tahoma"/>
          <w:b/>
          <w:bCs/>
        </w:rPr>
        <w:t xml:space="preserve">Sondy sprzętowe </w:t>
      </w:r>
      <w:r w:rsidR="00001903">
        <w:rPr>
          <w:rFonts w:ascii="Tahoma" w:hAnsi="Tahoma" w:cs="Tahoma"/>
          <w:b/>
          <w:bCs/>
        </w:rPr>
        <w:t>(</w:t>
      </w:r>
      <w:r w:rsidR="00DF73DF">
        <w:rPr>
          <w:rFonts w:ascii="Tahoma" w:hAnsi="Tahoma" w:cs="Tahoma"/>
          <w:b/>
          <w:bCs/>
        </w:rPr>
        <w:t>3</w:t>
      </w:r>
      <w:r w:rsidR="00001903">
        <w:rPr>
          <w:rFonts w:ascii="Tahoma" w:hAnsi="Tahoma" w:cs="Tahoma"/>
          <w:b/>
          <w:bCs/>
        </w:rPr>
        <w:t xml:space="preserve"> sztuk</w:t>
      </w:r>
      <w:r w:rsidR="00DF73DF">
        <w:rPr>
          <w:rFonts w:ascii="Tahoma" w:hAnsi="Tahoma" w:cs="Tahoma"/>
          <w:b/>
          <w:bCs/>
        </w:rPr>
        <w:t>i</w:t>
      </w:r>
      <w:r w:rsidR="00001903">
        <w:rPr>
          <w:rFonts w:ascii="Tahoma" w:hAnsi="Tahoma" w:cs="Tahoma"/>
          <w:b/>
          <w:bCs/>
        </w:rPr>
        <w:t>)</w:t>
      </w:r>
    </w:p>
    <w:tbl>
      <w:tblPr>
        <w:tblStyle w:val="Tabela-Siatka"/>
        <w:tblW w:w="0" w:type="auto"/>
        <w:tblLook w:val="04A0" w:firstRow="1" w:lastRow="0" w:firstColumn="1" w:lastColumn="0" w:noHBand="0" w:noVBand="1"/>
      </w:tblPr>
      <w:tblGrid>
        <w:gridCol w:w="655"/>
        <w:gridCol w:w="2884"/>
        <w:gridCol w:w="6089"/>
      </w:tblGrid>
      <w:tr w:rsidR="00ED1F95" w:rsidRPr="00ED1F95" w14:paraId="0BDA064A" w14:textId="77777777" w:rsidTr="00036834">
        <w:tc>
          <w:tcPr>
            <w:tcW w:w="0" w:type="auto"/>
            <w:vAlign w:val="center"/>
            <w:hideMark/>
          </w:tcPr>
          <w:p w14:paraId="7A212C46" w14:textId="77777777" w:rsidR="00ED1F95" w:rsidRPr="00ED1F95" w:rsidRDefault="00ED1F95" w:rsidP="00036834">
            <w:pPr>
              <w:jc w:val="center"/>
              <w:rPr>
                <w:rFonts w:ascii="Tahoma" w:hAnsi="Tahoma" w:cs="Tahoma"/>
                <w:b/>
                <w:bCs/>
              </w:rPr>
            </w:pPr>
            <w:r w:rsidRPr="00ED1F95">
              <w:rPr>
                <w:rFonts w:ascii="Tahoma" w:hAnsi="Tahoma" w:cs="Tahoma"/>
                <w:b/>
                <w:bCs/>
              </w:rPr>
              <w:t>L.p.</w:t>
            </w:r>
          </w:p>
        </w:tc>
        <w:tc>
          <w:tcPr>
            <w:tcW w:w="2884" w:type="dxa"/>
            <w:vAlign w:val="center"/>
            <w:hideMark/>
          </w:tcPr>
          <w:p w14:paraId="65AC682C" w14:textId="77777777" w:rsidR="00ED1F95" w:rsidRPr="00ED1F95" w:rsidRDefault="00ED1F95" w:rsidP="00036834">
            <w:pPr>
              <w:jc w:val="center"/>
              <w:rPr>
                <w:rFonts w:ascii="Tahoma" w:hAnsi="Tahoma" w:cs="Tahoma"/>
                <w:b/>
                <w:bCs/>
              </w:rPr>
            </w:pPr>
            <w:r w:rsidRPr="00ED1F95">
              <w:rPr>
                <w:rFonts w:ascii="Tahoma" w:hAnsi="Tahoma" w:cs="Tahoma"/>
                <w:b/>
                <w:bCs/>
              </w:rPr>
              <w:t>Parametr</w:t>
            </w:r>
          </w:p>
        </w:tc>
        <w:tc>
          <w:tcPr>
            <w:tcW w:w="6089" w:type="dxa"/>
            <w:hideMark/>
          </w:tcPr>
          <w:p w14:paraId="22254BCF" w14:textId="77777777" w:rsidR="00ED1F95" w:rsidRPr="00ED1F95" w:rsidRDefault="00ED1F95" w:rsidP="0065517E">
            <w:pPr>
              <w:spacing w:line="276" w:lineRule="auto"/>
              <w:jc w:val="center"/>
              <w:rPr>
                <w:rFonts w:ascii="Tahoma" w:hAnsi="Tahoma" w:cs="Tahoma"/>
                <w:b/>
                <w:bCs/>
              </w:rPr>
            </w:pPr>
            <w:r w:rsidRPr="00ED1F95">
              <w:rPr>
                <w:rFonts w:ascii="Tahoma" w:hAnsi="Tahoma" w:cs="Tahoma"/>
                <w:b/>
                <w:bCs/>
              </w:rPr>
              <w:t>Wymaganie minimalne</w:t>
            </w:r>
          </w:p>
        </w:tc>
      </w:tr>
      <w:tr w:rsidR="00ED1F95" w:rsidRPr="00ED1F95" w14:paraId="10922AE5" w14:textId="77777777" w:rsidTr="00036834">
        <w:tc>
          <w:tcPr>
            <w:tcW w:w="0" w:type="auto"/>
            <w:vAlign w:val="center"/>
            <w:hideMark/>
          </w:tcPr>
          <w:p w14:paraId="4630004D" w14:textId="77777777" w:rsidR="00ED1F95" w:rsidRPr="00ED1F95" w:rsidRDefault="00ED1F95" w:rsidP="00036834">
            <w:pPr>
              <w:rPr>
                <w:rFonts w:ascii="Tahoma" w:hAnsi="Tahoma" w:cs="Tahoma"/>
              </w:rPr>
            </w:pPr>
            <w:r w:rsidRPr="00ED1F95">
              <w:rPr>
                <w:rFonts w:ascii="Tahoma" w:hAnsi="Tahoma" w:cs="Tahoma"/>
              </w:rPr>
              <w:t>1</w:t>
            </w:r>
          </w:p>
        </w:tc>
        <w:tc>
          <w:tcPr>
            <w:tcW w:w="2884" w:type="dxa"/>
            <w:vAlign w:val="center"/>
            <w:hideMark/>
          </w:tcPr>
          <w:p w14:paraId="3A886563" w14:textId="163B7508" w:rsidR="00ED1F95" w:rsidRPr="00ED1F95" w:rsidRDefault="00ED1F95" w:rsidP="00036834">
            <w:pPr>
              <w:rPr>
                <w:rFonts w:ascii="Tahoma" w:hAnsi="Tahoma" w:cs="Tahoma"/>
              </w:rPr>
            </w:pPr>
            <w:r w:rsidRPr="00ED1F95">
              <w:rPr>
                <w:rFonts w:ascii="Tahoma" w:hAnsi="Tahoma" w:cs="Tahoma"/>
              </w:rPr>
              <w:t>Przedmiot zamówienia</w:t>
            </w:r>
          </w:p>
        </w:tc>
        <w:tc>
          <w:tcPr>
            <w:tcW w:w="6089" w:type="dxa"/>
            <w:hideMark/>
          </w:tcPr>
          <w:p w14:paraId="7874F3FF" w14:textId="77777777" w:rsidR="00ED1F95" w:rsidRDefault="00806E55" w:rsidP="0065517E">
            <w:pPr>
              <w:spacing w:line="276" w:lineRule="auto"/>
              <w:jc w:val="both"/>
              <w:rPr>
                <w:rFonts w:ascii="Tahoma" w:hAnsi="Tahoma" w:cs="Tahoma"/>
              </w:rPr>
            </w:pPr>
            <w:r w:rsidRPr="00806E55">
              <w:rPr>
                <w:rFonts w:ascii="Tahoma" w:hAnsi="Tahoma" w:cs="Tahoma"/>
              </w:rPr>
              <w:t xml:space="preserve">Przedmiotem zamówienia jest dostawa sprzętowych </w:t>
            </w:r>
            <w:r w:rsidR="00E830FC" w:rsidRPr="00E830FC">
              <w:rPr>
                <w:rFonts w:ascii="Tahoma" w:hAnsi="Tahoma" w:cs="Tahoma"/>
              </w:rPr>
              <w:t>sond monitorowania i/lub ochrony ruchu OT/ICS</w:t>
            </w:r>
            <w:r w:rsidRPr="00806E55">
              <w:rPr>
                <w:rFonts w:ascii="Tahoma" w:hAnsi="Tahoma" w:cs="Tahoma"/>
              </w:rPr>
              <w:t>, przeznaczonych do ciągłej obserwacji, analizy i inspekcji ruchu w sieciach przemysłowych, w tym do wykrywania zagrożeń, anomalii komunikacyjnych oraz identyfikacji urządzeń i protokołów wykorzystywanych w infrastrukturze automatyki przemysłowej, bez powodowania niedopuszczalnych zakłóceń w pracy monitorowanej sieci.</w:t>
            </w:r>
          </w:p>
          <w:p w14:paraId="44C09140" w14:textId="77777777" w:rsidR="006A19F4" w:rsidRPr="006A19F4" w:rsidRDefault="006A19F4" w:rsidP="006A19F4">
            <w:pPr>
              <w:spacing w:line="276" w:lineRule="auto"/>
              <w:jc w:val="both"/>
              <w:rPr>
                <w:rFonts w:ascii="Tahoma" w:hAnsi="Tahoma" w:cs="Tahoma"/>
              </w:rPr>
            </w:pPr>
            <w:r w:rsidRPr="006A19F4">
              <w:rPr>
                <w:rFonts w:ascii="Tahoma" w:hAnsi="Tahoma" w:cs="Tahoma"/>
              </w:rPr>
              <w:t>Zamawiający informuje, że nie dysponuje hasłami administracyjnymi, kontami serwisowymi ani dostępem API do sterowników PLC, urządzeń automatyki, modułów telemetrycznych oraz innych urządzeń OT wskazanych w dokumentacji postępowania. Zamawiający nie posiada również szczegółowej dokumentacji technicznej konfiguracji tych urządzeń, w szczególności konfiguracji programowej sterowników, tablic komunikacyjnych, wersji firmware, szczegółowej adresacji logicznej, map rejestrów, konfiguracji tuneli VPN ani pełnej dokumentacji integracji ze SCADA.</w:t>
            </w:r>
          </w:p>
          <w:p w14:paraId="1DA65185" w14:textId="12211104" w:rsidR="006A19F4" w:rsidRPr="00ED1F95" w:rsidRDefault="006A19F4" w:rsidP="0065517E">
            <w:pPr>
              <w:spacing w:line="276" w:lineRule="auto"/>
              <w:jc w:val="both"/>
              <w:rPr>
                <w:rFonts w:ascii="Tahoma" w:hAnsi="Tahoma" w:cs="Tahoma"/>
              </w:rPr>
            </w:pPr>
            <w:r w:rsidRPr="006A19F4">
              <w:rPr>
                <w:rFonts w:ascii="Tahoma" w:hAnsi="Tahoma" w:cs="Tahoma"/>
              </w:rPr>
              <w:t xml:space="preserve">W związku z powyższym przedmiot zamówienia należy rozumieć jako wdrożenie rozwiązania nieinwazyjnego, opartego na analizie ruchu sieciowego widocznego dla sond i systemu centralnego, bez wymogu logowania do sterowników, zmiany konfiguracji sterowników, instalacji agentów na urządzeniach OT, korzystania z </w:t>
            </w:r>
            <w:r w:rsidRPr="006A19F4">
              <w:rPr>
                <w:rFonts w:ascii="Tahoma" w:hAnsi="Tahoma" w:cs="Tahoma"/>
              </w:rPr>
              <w:lastRenderedPageBreak/>
              <w:t>API urządzeń OT ani ingerencji w logikę/programy sterujące.</w:t>
            </w:r>
          </w:p>
        </w:tc>
      </w:tr>
      <w:tr w:rsidR="00ED1F95" w:rsidRPr="00ED1F95" w14:paraId="68018ACD" w14:textId="77777777" w:rsidTr="00036834">
        <w:tc>
          <w:tcPr>
            <w:tcW w:w="0" w:type="auto"/>
            <w:vAlign w:val="center"/>
            <w:hideMark/>
          </w:tcPr>
          <w:p w14:paraId="528442EC" w14:textId="77777777" w:rsidR="00ED1F95" w:rsidRPr="00ED1F95" w:rsidRDefault="00ED1F95" w:rsidP="00036834">
            <w:pPr>
              <w:rPr>
                <w:rFonts w:ascii="Tahoma" w:hAnsi="Tahoma" w:cs="Tahoma"/>
              </w:rPr>
            </w:pPr>
            <w:r w:rsidRPr="00ED1F95">
              <w:rPr>
                <w:rFonts w:ascii="Tahoma" w:hAnsi="Tahoma" w:cs="Tahoma"/>
              </w:rPr>
              <w:lastRenderedPageBreak/>
              <w:t>2</w:t>
            </w:r>
          </w:p>
        </w:tc>
        <w:tc>
          <w:tcPr>
            <w:tcW w:w="2884" w:type="dxa"/>
            <w:vAlign w:val="center"/>
            <w:hideMark/>
          </w:tcPr>
          <w:p w14:paraId="37082643" w14:textId="549101F5" w:rsidR="00ED1F95" w:rsidRPr="00ED1F95" w:rsidRDefault="00ED1F95" w:rsidP="00036834">
            <w:pPr>
              <w:rPr>
                <w:rFonts w:ascii="Tahoma" w:hAnsi="Tahoma" w:cs="Tahoma"/>
              </w:rPr>
            </w:pPr>
            <w:r w:rsidRPr="00ED1F95">
              <w:rPr>
                <w:rFonts w:ascii="Tahoma" w:hAnsi="Tahoma" w:cs="Tahoma"/>
              </w:rPr>
              <w:t>Tryb pracy urządzenia</w:t>
            </w:r>
          </w:p>
        </w:tc>
        <w:tc>
          <w:tcPr>
            <w:tcW w:w="6089" w:type="dxa"/>
            <w:hideMark/>
          </w:tcPr>
          <w:p w14:paraId="4EB0999A" w14:textId="0997CA3C" w:rsidR="00600C48" w:rsidRPr="00ED1F95" w:rsidRDefault="00DD071F" w:rsidP="0065517E">
            <w:pPr>
              <w:spacing w:line="276" w:lineRule="auto"/>
              <w:jc w:val="both"/>
              <w:rPr>
                <w:rFonts w:ascii="Tahoma" w:hAnsi="Tahoma" w:cs="Tahoma"/>
              </w:rPr>
            </w:pPr>
            <w:r w:rsidRPr="00DD071F">
              <w:rPr>
                <w:rFonts w:ascii="Tahoma" w:hAnsi="Tahoma" w:cs="Tahoma"/>
              </w:rPr>
              <w:t>Urządzenie musi umożliwiać monitorowanie lub ochronę ruchu OT/ICS w jednym z następujących modeli: pasywnym, z wykorzystaniem kopii ruchu SPAN/mirror/TAP, albo inline/pass-through z zachowaniem transparentności transmisji i mechanizmem hardware bypass, jeżeli wynika to z architektury oferowanego rozwiązania.</w:t>
            </w:r>
          </w:p>
        </w:tc>
      </w:tr>
      <w:tr w:rsidR="00ED1F95" w:rsidRPr="00ED1F95" w14:paraId="0008F848" w14:textId="77777777" w:rsidTr="00036834">
        <w:tc>
          <w:tcPr>
            <w:tcW w:w="0" w:type="auto"/>
            <w:vAlign w:val="center"/>
            <w:hideMark/>
          </w:tcPr>
          <w:p w14:paraId="1E36BCDB" w14:textId="77777777" w:rsidR="00ED1F95" w:rsidRPr="00ED1F95" w:rsidRDefault="00ED1F95" w:rsidP="00036834">
            <w:pPr>
              <w:rPr>
                <w:rFonts w:ascii="Tahoma" w:hAnsi="Tahoma" w:cs="Tahoma"/>
              </w:rPr>
            </w:pPr>
            <w:r w:rsidRPr="00ED1F95">
              <w:rPr>
                <w:rFonts w:ascii="Tahoma" w:hAnsi="Tahoma" w:cs="Tahoma"/>
              </w:rPr>
              <w:t>3</w:t>
            </w:r>
          </w:p>
        </w:tc>
        <w:tc>
          <w:tcPr>
            <w:tcW w:w="2884" w:type="dxa"/>
            <w:vAlign w:val="center"/>
            <w:hideMark/>
          </w:tcPr>
          <w:p w14:paraId="34F7E3FE" w14:textId="77777777" w:rsidR="00ED1F95" w:rsidRPr="00ED1F95" w:rsidRDefault="00ED1F95" w:rsidP="00036834">
            <w:pPr>
              <w:rPr>
                <w:rFonts w:ascii="Tahoma" w:hAnsi="Tahoma" w:cs="Tahoma"/>
              </w:rPr>
            </w:pPr>
            <w:r w:rsidRPr="00ED1F95">
              <w:rPr>
                <w:rFonts w:ascii="Tahoma" w:hAnsi="Tahoma" w:cs="Tahoma"/>
              </w:rPr>
              <w:t>Sposób wpięcia do sieci OT</w:t>
            </w:r>
          </w:p>
        </w:tc>
        <w:tc>
          <w:tcPr>
            <w:tcW w:w="6089" w:type="dxa"/>
            <w:hideMark/>
          </w:tcPr>
          <w:p w14:paraId="24F25739" w14:textId="1C94B8F1" w:rsidR="00ED1F95" w:rsidRPr="00ED1F95" w:rsidRDefault="00DD071F" w:rsidP="0065517E">
            <w:pPr>
              <w:spacing w:line="276" w:lineRule="auto"/>
              <w:jc w:val="both"/>
              <w:rPr>
                <w:rFonts w:ascii="Tahoma" w:hAnsi="Tahoma" w:cs="Tahoma"/>
              </w:rPr>
            </w:pPr>
            <w:r w:rsidRPr="00DD071F">
              <w:rPr>
                <w:rFonts w:ascii="Tahoma" w:hAnsi="Tahoma" w:cs="Tahoma"/>
              </w:rPr>
              <w:t>Urządzenie musi umożliwiać wpięcie do sieci OT w sposób niewpływający negatywnie na ciągłość działania infrastruktury, tj. pasywnie poprzez SPAN/mirror/TAP albo inline/pass-through z transparentną transmisją i hardware bypass.</w:t>
            </w:r>
          </w:p>
        </w:tc>
      </w:tr>
      <w:tr w:rsidR="00ED1F95" w:rsidRPr="00ED1F95" w14:paraId="1D1D9169" w14:textId="77777777" w:rsidTr="00036834">
        <w:tc>
          <w:tcPr>
            <w:tcW w:w="0" w:type="auto"/>
            <w:vAlign w:val="center"/>
            <w:hideMark/>
          </w:tcPr>
          <w:p w14:paraId="73299C13" w14:textId="77777777" w:rsidR="00ED1F95" w:rsidRPr="00ED1F95" w:rsidRDefault="00ED1F95" w:rsidP="00036834">
            <w:pPr>
              <w:rPr>
                <w:rFonts w:ascii="Tahoma" w:hAnsi="Tahoma" w:cs="Tahoma"/>
              </w:rPr>
            </w:pPr>
            <w:r w:rsidRPr="00ED1F95">
              <w:rPr>
                <w:rFonts w:ascii="Tahoma" w:hAnsi="Tahoma" w:cs="Tahoma"/>
              </w:rPr>
              <w:t>4</w:t>
            </w:r>
          </w:p>
        </w:tc>
        <w:tc>
          <w:tcPr>
            <w:tcW w:w="2884" w:type="dxa"/>
            <w:vAlign w:val="center"/>
            <w:hideMark/>
          </w:tcPr>
          <w:p w14:paraId="1E556E68" w14:textId="77777777" w:rsidR="00ED1F95" w:rsidRPr="00ED1F95" w:rsidRDefault="00ED1F95" w:rsidP="00036834">
            <w:pPr>
              <w:rPr>
                <w:rFonts w:ascii="Tahoma" w:hAnsi="Tahoma" w:cs="Tahoma"/>
              </w:rPr>
            </w:pPr>
            <w:r w:rsidRPr="00ED1F95">
              <w:rPr>
                <w:rFonts w:ascii="Tahoma" w:hAnsi="Tahoma" w:cs="Tahoma"/>
              </w:rPr>
              <w:t>Przepustowość analizy ruchu</w:t>
            </w:r>
          </w:p>
        </w:tc>
        <w:tc>
          <w:tcPr>
            <w:tcW w:w="6089" w:type="dxa"/>
            <w:hideMark/>
          </w:tcPr>
          <w:p w14:paraId="4E794374" w14:textId="6BDB1677" w:rsidR="00ED1F95" w:rsidRPr="00ED1F95" w:rsidRDefault="00806E55" w:rsidP="0065517E">
            <w:pPr>
              <w:spacing w:line="276" w:lineRule="auto"/>
              <w:jc w:val="both"/>
              <w:rPr>
                <w:rFonts w:ascii="Tahoma" w:hAnsi="Tahoma" w:cs="Tahoma"/>
              </w:rPr>
            </w:pPr>
            <w:r w:rsidRPr="00806E55">
              <w:rPr>
                <w:rFonts w:ascii="Tahoma" w:hAnsi="Tahoma" w:cs="Tahoma"/>
              </w:rPr>
              <w:t>Urządzenie musi zapewniać wydajność przetwarzania i analizy ruchu sieciowego na poziomie umożliwiającym ciągłe monitorowanie wszystkich obsługiwanych segmentów sieci OT, bez utraty pakietów oraz bez istotnego wpływu na opóźnienia transmisji, przy zachowaniu pełnej funkcjonalności analitycznej (w tym inspekcji pakietów i detekcji zagrożeń).</w:t>
            </w:r>
          </w:p>
        </w:tc>
      </w:tr>
      <w:tr w:rsidR="00ED1F95" w:rsidRPr="00ED1F95" w14:paraId="254A9FDE" w14:textId="77777777" w:rsidTr="00036834">
        <w:tc>
          <w:tcPr>
            <w:tcW w:w="0" w:type="auto"/>
            <w:vAlign w:val="center"/>
            <w:hideMark/>
          </w:tcPr>
          <w:p w14:paraId="12601B93" w14:textId="77777777" w:rsidR="00ED1F95" w:rsidRPr="00ED1F95" w:rsidRDefault="00ED1F95" w:rsidP="00036834">
            <w:pPr>
              <w:rPr>
                <w:rFonts w:ascii="Tahoma" w:hAnsi="Tahoma" w:cs="Tahoma"/>
              </w:rPr>
            </w:pPr>
            <w:r w:rsidRPr="00ED1F95">
              <w:rPr>
                <w:rFonts w:ascii="Tahoma" w:hAnsi="Tahoma" w:cs="Tahoma"/>
              </w:rPr>
              <w:t>5</w:t>
            </w:r>
          </w:p>
        </w:tc>
        <w:tc>
          <w:tcPr>
            <w:tcW w:w="2884" w:type="dxa"/>
            <w:vAlign w:val="center"/>
            <w:hideMark/>
          </w:tcPr>
          <w:p w14:paraId="0C0E933F" w14:textId="77777777" w:rsidR="00ED1F95" w:rsidRPr="00ED1F95" w:rsidRDefault="00ED1F95" w:rsidP="00036834">
            <w:pPr>
              <w:rPr>
                <w:rFonts w:ascii="Tahoma" w:hAnsi="Tahoma" w:cs="Tahoma"/>
              </w:rPr>
            </w:pPr>
            <w:r w:rsidRPr="00ED1F95">
              <w:rPr>
                <w:rFonts w:ascii="Tahoma" w:hAnsi="Tahoma" w:cs="Tahoma"/>
              </w:rPr>
              <w:t>Liczba i rodzaj interfejsów sieciowych</w:t>
            </w:r>
          </w:p>
        </w:tc>
        <w:tc>
          <w:tcPr>
            <w:tcW w:w="6089" w:type="dxa"/>
            <w:hideMark/>
          </w:tcPr>
          <w:p w14:paraId="7C0FEDD3" w14:textId="77777777" w:rsidR="00ED1F95" w:rsidRDefault="002E30C7" w:rsidP="0065517E">
            <w:pPr>
              <w:spacing w:line="276" w:lineRule="auto"/>
              <w:jc w:val="both"/>
              <w:rPr>
                <w:rFonts w:ascii="Tahoma" w:hAnsi="Tahoma" w:cs="Tahoma"/>
              </w:rPr>
            </w:pPr>
            <w:r w:rsidRPr="002E30C7">
              <w:rPr>
                <w:rFonts w:ascii="Tahoma" w:hAnsi="Tahoma" w:cs="Tahoma"/>
              </w:rPr>
              <w:t>Urządzenie musi być wyposażone co najmniej w:</w:t>
            </w:r>
            <w:r w:rsidRPr="002E30C7">
              <w:rPr>
                <w:rFonts w:ascii="Tahoma" w:hAnsi="Tahoma" w:cs="Tahoma"/>
              </w:rPr>
              <w:br/>
              <w:t>a) 2 porty Ethernet RJ45 przeznaczone do pracy w monitorowanym segmencie sieci,</w:t>
            </w:r>
            <w:r w:rsidRPr="002E30C7">
              <w:rPr>
                <w:rFonts w:ascii="Tahoma" w:hAnsi="Tahoma" w:cs="Tahoma"/>
              </w:rPr>
              <w:br/>
              <w:t>b) 1 dedykowany port zarządzający Ethernet RJ45,</w:t>
            </w:r>
            <w:r w:rsidRPr="002E30C7">
              <w:rPr>
                <w:rFonts w:ascii="Tahoma" w:hAnsi="Tahoma" w:cs="Tahoma"/>
              </w:rPr>
              <w:br/>
              <w:t>c) 1 interfejs umożliwiający odbiór kopii ruchu z portu SPAN/mirror albo realizację funkcji monitoringu w sposób równoważny.</w:t>
            </w:r>
          </w:p>
          <w:p w14:paraId="26D2F0AE" w14:textId="77777777" w:rsidR="00E830FC" w:rsidRDefault="00E830FC" w:rsidP="0065517E">
            <w:pPr>
              <w:spacing w:line="276" w:lineRule="auto"/>
              <w:jc w:val="both"/>
              <w:rPr>
                <w:rFonts w:ascii="Tahoma" w:hAnsi="Tahoma" w:cs="Tahoma"/>
              </w:rPr>
            </w:pPr>
            <w:r>
              <w:rPr>
                <w:rFonts w:ascii="Tahoma" w:hAnsi="Tahoma" w:cs="Tahoma"/>
              </w:rPr>
              <w:lastRenderedPageBreak/>
              <w:t>P</w:t>
            </w:r>
            <w:r w:rsidRPr="00E830FC">
              <w:rPr>
                <w:rFonts w:ascii="Tahoma" w:hAnsi="Tahoma" w:cs="Tahoma"/>
              </w:rPr>
              <w:t>orty inline/pass-through z hardware bypass uznaje się za równoważny sposób realizacji monitoringu/ochrony</w:t>
            </w:r>
            <w:r w:rsidR="00DD071F">
              <w:rPr>
                <w:rFonts w:ascii="Tahoma" w:hAnsi="Tahoma" w:cs="Tahoma"/>
              </w:rPr>
              <w:t>.</w:t>
            </w:r>
          </w:p>
          <w:p w14:paraId="26339E3F" w14:textId="548A00EB" w:rsidR="00DD071F" w:rsidRPr="00ED1F95" w:rsidRDefault="00DD071F" w:rsidP="0065517E">
            <w:pPr>
              <w:spacing w:line="276" w:lineRule="auto"/>
              <w:jc w:val="both"/>
              <w:rPr>
                <w:rFonts w:ascii="Tahoma" w:hAnsi="Tahoma" w:cs="Tahoma"/>
              </w:rPr>
            </w:pPr>
            <w:r w:rsidRPr="00DD071F">
              <w:rPr>
                <w:rFonts w:ascii="Tahoma" w:hAnsi="Tahoma" w:cs="Tahoma"/>
              </w:rPr>
              <w:t>W przypadku urządzeń realizujących ochronę w trybie inline/pass-through nie wymaga się odrębnego portu SPAN/mirror, jeżeli równoważna funkcjonalność monitorowania lub ochrony jest realizowana przez pary portów inline z hardware bypass.</w:t>
            </w:r>
          </w:p>
        </w:tc>
      </w:tr>
      <w:tr w:rsidR="00ED1F95" w:rsidRPr="00ED1F95" w14:paraId="76E573FB" w14:textId="77777777" w:rsidTr="00036834">
        <w:tc>
          <w:tcPr>
            <w:tcW w:w="0" w:type="auto"/>
            <w:vAlign w:val="center"/>
            <w:hideMark/>
          </w:tcPr>
          <w:p w14:paraId="45D45887" w14:textId="7B5D35A0" w:rsidR="00ED1F95" w:rsidRPr="00ED1F95" w:rsidRDefault="00210260" w:rsidP="00036834">
            <w:pPr>
              <w:rPr>
                <w:rFonts w:ascii="Tahoma" w:hAnsi="Tahoma" w:cs="Tahoma"/>
              </w:rPr>
            </w:pPr>
            <w:r>
              <w:rPr>
                <w:rFonts w:ascii="Tahoma" w:hAnsi="Tahoma" w:cs="Tahoma"/>
              </w:rPr>
              <w:lastRenderedPageBreak/>
              <w:t>6</w:t>
            </w:r>
          </w:p>
        </w:tc>
        <w:tc>
          <w:tcPr>
            <w:tcW w:w="2884" w:type="dxa"/>
            <w:vAlign w:val="center"/>
            <w:hideMark/>
          </w:tcPr>
          <w:p w14:paraId="7E551AD1" w14:textId="77777777" w:rsidR="00ED1F95" w:rsidRPr="00ED1F95" w:rsidRDefault="00ED1F95" w:rsidP="00036834">
            <w:pPr>
              <w:rPr>
                <w:rFonts w:ascii="Tahoma" w:hAnsi="Tahoma" w:cs="Tahoma"/>
              </w:rPr>
            </w:pPr>
            <w:r w:rsidRPr="00ED1F95">
              <w:rPr>
                <w:rFonts w:ascii="Tahoma" w:hAnsi="Tahoma" w:cs="Tahoma"/>
              </w:rPr>
              <w:t>Obsługiwane protokoły OT/ICS</w:t>
            </w:r>
          </w:p>
        </w:tc>
        <w:tc>
          <w:tcPr>
            <w:tcW w:w="6089" w:type="dxa"/>
            <w:hideMark/>
          </w:tcPr>
          <w:p w14:paraId="1B182918" w14:textId="77777777" w:rsidR="006A19F4" w:rsidRPr="006A19F4" w:rsidRDefault="006A19F4" w:rsidP="006A19F4">
            <w:pPr>
              <w:spacing w:line="276" w:lineRule="auto"/>
              <w:jc w:val="both"/>
              <w:rPr>
                <w:rFonts w:ascii="Tahoma" w:hAnsi="Tahoma" w:cs="Tahoma"/>
              </w:rPr>
            </w:pPr>
            <w:r w:rsidRPr="006A19F4">
              <w:rPr>
                <w:rFonts w:ascii="Tahoma" w:hAnsi="Tahoma" w:cs="Tahoma"/>
              </w:rPr>
              <w:t>Urządzenie musi wspierać analizę komunikacji dla protokołów przemysłowych OT/ICS, obejmujących co najmniej Modbus TCP, DNP3, Profinet oraz inne protokoły zidentyfikowane przez wykonawcę na podstawie obserwowanego ruchu sieciowego w punktach monitoringu objętych wdrożeniem, o ile są one wspierane przez oferowane rozwiązanie.</w:t>
            </w:r>
          </w:p>
          <w:p w14:paraId="21F2B3B9" w14:textId="171B0D2D" w:rsidR="00ED1F95" w:rsidRPr="00ED1F95" w:rsidRDefault="006A19F4" w:rsidP="0065517E">
            <w:pPr>
              <w:spacing w:line="276" w:lineRule="auto"/>
              <w:jc w:val="both"/>
              <w:rPr>
                <w:rFonts w:ascii="Tahoma" w:hAnsi="Tahoma" w:cs="Tahoma"/>
              </w:rPr>
            </w:pPr>
            <w:r w:rsidRPr="006A19F4">
              <w:rPr>
                <w:rFonts w:ascii="Tahoma" w:hAnsi="Tahoma" w:cs="Tahoma"/>
              </w:rPr>
              <w:t>Wymaganie nie oznacza obowiązku logowania do sterowników, odczytu ich konfiguracji, korzystania z API ani aktywnego odpytywania urządzeń OT. Wsparcie protokołu należy rozumieć jako możliwość identyfikacji komunikacji, analizy sesji lub komunikatów oraz wykorzystania tych danych do detekcji anomalii, alarmowania albo inwentaryzacji, w zakresie ruchu widocznego dla sond.</w:t>
            </w:r>
          </w:p>
        </w:tc>
      </w:tr>
      <w:tr w:rsidR="00535241" w:rsidRPr="00ED1F95" w14:paraId="4CA058F0" w14:textId="77777777" w:rsidTr="00036834">
        <w:tc>
          <w:tcPr>
            <w:tcW w:w="0" w:type="auto"/>
            <w:vAlign w:val="center"/>
          </w:tcPr>
          <w:p w14:paraId="11DC6E61" w14:textId="3E80CFFF" w:rsidR="00535241" w:rsidRDefault="00535241" w:rsidP="00036834">
            <w:pPr>
              <w:rPr>
                <w:rFonts w:ascii="Tahoma" w:hAnsi="Tahoma" w:cs="Tahoma"/>
              </w:rPr>
            </w:pPr>
            <w:r>
              <w:rPr>
                <w:rFonts w:ascii="Tahoma" w:hAnsi="Tahoma" w:cs="Tahoma"/>
              </w:rPr>
              <w:t>7</w:t>
            </w:r>
          </w:p>
        </w:tc>
        <w:tc>
          <w:tcPr>
            <w:tcW w:w="2884" w:type="dxa"/>
            <w:vAlign w:val="center"/>
          </w:tcPr>
          <w:p w14:paraId="50833E1A" w14:textId="42C0E141" w:rsidR="00535241" w:rsidRPr="00ED1F95" w:rsidRDefault="00535241" w:rsidP="00036834">
            <w:pPr>
              <w:rPr>
                <w:rFonts w:ascii="Tahoma" w:hAnsi="Tahoma" w:cs="Tahoma"/>
              </w:rPr>
            </w:pPr>
            <w:r w:rsidRPr="00535241">
              <w:rPr>
                <w:rFonts w:ascii="Tahoma" w:hAnsi="Tahoma" w:cs="Tahoma"/>
              </w:rPr>
              <w:t>Kompatybilność z urządzeniami wskazanymi przez Zamawiającego</w:t>
            </w:r>
          </w:p>
        </w:tc>
        <w:tc>
          <w:tcPr>
            <w:tcW w:w="6089" w:type="dxa"/>
          </w:tcPr>
          <w:p w14:paraId="4DF0A6BC" w14:textId="59795C46" w:rsidR="006A19F4" w:rsidRPr="006A19F4" w:rsidRDefault="006A19F4" w:rsidP="006A19F4">
            <w:pPr>
              <w:spacing w:line="276" w:lineRule="auto"/>
              <w:jc w:val="both"/>
              <w:rPr>
                <w:rFonts w:ascii="Tahoma" w:hAnsi="Tahoma" w:cs="Tahoma"/>
              </w:rPr>
            </w:pPr>
            <w:r w:rsidRPr="006A19F4">
              <w:rPr>
                <w:rFonts w:ascii="Tahoma" w:hAnsi="Tahoma" w:cs="Tahoma"/>
              </w:rPr>
              <w:t>Niezależnie od wymagań dotyczących obsługi protokołów komunikacyjnych OT/ICS, oferowane urządzenie musi umożliwiać nieinwazyjne monitorowanie i analizę ruchu sieciowego generowanego przez urządzenia automatyki przemysłowej wskazane przez Zamawiającego w załączniku pn. „Zestawienie sterowników</w:t>
            </w:r>
            <w:r>
              <w:rPr>
                <w:rFonts w:ascii="Tahoma" w:hAnsi="Tahoma" w:cs="Tahoma"/>
              </w:rPr>
              <w:t>.xlsx</w:t>
            </w:r>
            <w:r w:rsidRPr="006A19F4">
              <w:rPr>
                <w:rFonts w:ascii="Tahoma" w:hAnsi="Tahoma" w:cs="Tahoma"/>
              </w:rPr>
              <w:t>”, w zakresie, w jakim ruch tych urządzeń będzie widoczny w punktach monitoringu objętych wdrożeniem.</w:t>
            </w:r>
          </w:p>
          <w:p w14:paraId="24396539" w14:textId="77777777" w:rsidR="006A19F4" w:rsidRPr="006A19F4" w:rsidRDefault="006A19F4" w:rsidP="006A19F4">
            <w:pPr>
              <w:spacing w:line="276" w:lineRule="auto"/>
              <w:jc w:val="both"/>
              <w:rPr>
                <w:rFonts w:ascii="Tahoma" w:hAnsi="Tahoma" w:cs="Tahoma"/>
              </w:rPr>
            </w:pPr>
            <w:r w:rsidRPr="006A19F4">
              <w:rPr>
                <w:rFonts w:ascii="Tahoma" w:hAnsi="Tahoma" w:cs="Tahoma"/>
              </w:rPr>
              <w:lastRenderedPageBreak/>
              <w:t>Przez kompatybilność Zamawiający rozumie zdolność do pasywnej lub transparentnej obserwacji komunikacji, identyfikacji urządzeń, identyfikacji wykorzystywanych protokołów komunikacyjnych, analizy ruchu sieciowego oraz wykrywania anomalii komunikacyjnych, bez wymogu logowania do urządzeń, zmiany ich konfiguracji, instalowania agentów, korzystania z API lub ingerencji w programy sterujące.</w:t>
            </w:r>
          </w:p>
          <w:p w14:paraId="55F2547E" w14:textId="317AC58F" w:rsidR="00535241" w:rsidRPr="00535241" w:rsidRDefault="006A19F4" w:rsidP="006A19F4">
            <w:pPr>
              <w:spacing w:line="276" w:lineRule="auto"/>
              <w:jc w:val="both"/>
              <w:rPr>
                <w:rFonts w:ascii="Tahoma" w:hAnsi="Tahoma" w:cs="Tahoma"/>
              </w:rPr>
            </w:pPr>
            <w:r w:rsidRPr="006A19F4">
              <w:rPr>
                <w:rFonts w:ascii="Tahoma" w:hAnsi="Tahoma" w:cs="Tahoma"/>
              </w:rPr>
              <w:t>Zamawiający dopuszcza identyfikację pośrednią, w szczególności na podstawie adresacji, fingerprintingu, metadanych, relacji komunikacyjnych, analizy zachowania oraz informacji wynikających z obserwowanego ruchu.</w:t>
            </w:r>
          </w:p>
        </w:tc>
      </w:tr>
      <w:tr w:rsidR="00ED1F95" w:rsidRPr="00ED1F95" w14:paraId="2FA35AD4" w14:textId="77777777" w:rsidTr="00036834">
        <w:tc>
          <w:tcPr>
            <w:tcW w:w="0" w:type="auto"/>
            <w:vAlign w:val="center"/>
            <w:hideMark/>
          </w:tcPr>
          <w:p w14:paraId="5B9F51BA" w14:textId="5939EAA6" w:rsidR="00ED1F95" w:rsidRPr="00ED1F95" w:rsidRDefault="00535241" w:rsidP="00036834">
            <w:pPr>
              <w:rPr>
                <w:rFonts w:ascii="Tahoma" w:hAnsi="Tahoma" w:cs="Tahoma"/>
              </w:rPr>
            </w:pPr>
            <w:r>
              <w:rPr>
                <w:rFonts w:ascii="Tahoma" w:hAnsi="Tahoma" w:cs="Tahoma"/>
              </w:rPr>
              <w:lastRenderedPageBreak/>
              <w:t>8</w:t>
            </w:r>
          </w:p>
        </w:tc>
        <w:tc>
          <w:tcPr>
            <w:tcW w:w="2884" w:type="dxa"/>
            <w:vAlign w:val="center"/>
            <w:hideMark/>
          </w:tcPr>
          <w:p w14:paraId="0A0F3BFE" w14:textId="77777777" w:rsidR="00ED1F95" w:rsidRPr="00ED1F95" w:rsidRDefault="00ED1F95" w:rsidP="00036834">
            <w:pPr>
              <w:rPr>
                <w:rFonts w:ascii="Tahoma" w:hAnsi="Tahoma" w:cs="Tahoma"/>
              </w:rPr>
            </w:pPr>
            <w:r w:rsidRPr="00ED1F95">
              <w:rPr>
                <w:rFonts w:ascii="Tahoma" w:hAnsi="Tahoma" w:cs="Tahoma"/>
              </w:rPr>
              <w:t>Głęboka inspekcja pakietów (DPI)</w:t>
            </w:r>
          </w:p>
        </w:tc>
        <w:tc>
          <w:tcPr>
            <w:tcW w:w="6089" w:type="dxa"/>
            <w:hideMark/>
          </w:tcPr>
          <w:p w14:paraId="057D3693" w14:textId="5DEBDF43"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 xml:space="preserve">, </w:t>
            </w:r>
            <w:r w:rsidR="00237CD6" w:rsidRPr="00237CD6">
              <w:rPr>
                <w:rFonts w:ascii="Tahoma" w:hAnsi="Tahoma" w:cs="Tahoma"/>
              </w:rPr>
              <w:t xml:space="preserve">musi zapewniać </w:t>
            </w:r>
            <w:r w:rsidR="00E849DB" w:rsidRPr="00E849DB">
              <w:rPr>
                <w:rFonts w:ascii="Tahoma" w:hAnsi="Tahoma" w:cs="Tahoma"/>
              </w:rPr>
              <w:t>funkcjonalność głębokiej inspekcji pakietów (DPI) dla ruchu sieciowego, w szczególności dla protokołów OT/ICS, umożliwiając analizę zawartości komunikacji, identyfikację operacji i komend oraz wykrywanie nieprawidłowości i naruszeń polityk bezpieczeństwa na poziomie aplikacyjnym.</w:t>
            </w:r>
          </w:p>
        </w:tc>
      </w:tr>
      <w:tr w:rsidR="00ED1F95" w:rsidRPr="00ED1F95" w14:paraId="0E6844FD" w14:textId="77777777" w:rsidTr="00036834">
        <w:tc>
          <w:tcPr>
            <w:tcW w:w="0" w:type="auto"/>
            <w:vAlign w:val="center"/>
            <w:hideMark/>
          </w:tcPr>
          <w:p w14:paraId="28E03E0D" w14:textId="0DAD8C31" w:rsidR="00ED1F95" w:rsidRPr="00ED1F95" w:rsidRDefault="00535241" w:rsidP="00036834">
            <w:pPr>
              <w:rPr>
                <w:rFonts w:ascii="Tahoma" w:hAnsi="Tahoma" w:cs="Tahoma"/>
              </w:rPr>
            </w:pPr>
            <w:r>
              <w:rPr>
                <w:rFonts w:ascii="Tahoma" w:hAnsi="Tahoma" w:cs="Tahoma"/>
              </w:rPr>
              <w:t>9</w:t>
            </w:r>
          </w:p>
        </w:tc>
        <w:tc>
          <w:tcPr>
            <w:tcW w:w="2884" w:type="dxa"/>
            <w:vAlign w:val="center"/>
            <w:hideMark/>
          </w:tcPr>
          <w:p w14:paraId="3DB933B1" w14:textId="77777777" w:rsidR="00ED1F95" w:rsidRPr="00ED1F95" w:rsidRDefault="00ED1F95" w:rsidP="00036834">
            <w:pPr>
              <w:rPr>
                <w:rFonts w:ascii="Tahoma" w:hAnsi="Tahoma" w:cs="Tahoma"/>
              </w:rPr>
            </w:pPr>
            <w:r w:rsidRPr="00ED1F95">
              <w:rPr>
                <w:rFonts w:ascii="Tahoma" w:hAnsi="Tahoma" w:cs="Tahoma"/>
              </w:rPr>
              <w:t>Wykrywanie zagrożeń i anomalii</w:t>
            </w:r>
          </w:p>
        </w:tc>
        <w:tc>
          <w:tcPr>
            <w:tcW w:w="6089" w:type="dxa"/>
            <w:hideMark/>
          </w:tcPr>
          <w:p w14:paraId="0500E545" w14:textId="743561E5"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 xml:space="preserve">, musi umożliwiać </w:t>
            </w:r>
            <w:r w:rsidR="00E849DB" w:rsidRPr="00E849DB">
              <w:rPr>
                <w:rFonts w:ascii="Tahoma" w:hAnsi="Tahoma" w:cs="Tahoma"/>
              </w:rPr>
              <w:t>wykrywanie zagrożeń oraz anomalii w ruchu sieciowym OT, w tym identyfikację nietypowych wzorców komunikacji, prób nieautoryzowanego dostępu, skanowania sieci, wykorzystania podatności oraz innych zdarzeń mogących wskazywać na incydenty bezpieczeństwa, z wykorzystaniem mechanizmów analizy behawioralnej i/lub sygnaturowej.</w:t>
            </w:r>
          </w:p>
        </w:tc>
      </w:tr>
      <w:tr w:rsidR="00ED1F95" w:rsidRPr="00ED1F95" w14:paraId="556BD8AC" w14:textId="77777777" w:rsidTr="00036834">
        <w:tc>
          <w:tcPr>
            <w:tcW w:w="0" w:type="auto"/>
            <w:vAlign w:val="center"/>
            <w:hideMark/>
          </w:tcPr>
          <w:p w14:paraId="512B44DF" w14:textId="3BFE5909" w:rsidR="00ED1F95" w:rsidRPr="00ED1F95" w:rsidRDefault="00535241" w:rsidP="00036834">
            <w:pPr>
              <w:rPr>
                <w:rFonts w:ascii="Tahoma" w:hAnsi="Tahoma" w:cs="Tahoma"/>
              </w:rPr>
            </w:pPr>
            <w:r>
              <w:rPr>
                <w:rFonts w:ascii="Tahoma" w:hAnsi="Tahoma" w:cs="Tahoma"/>
              </w:rPr>
              <w:lastRenderedPageBreak/>
              <w:t>10</w:t>
            </w:r>
          </w:p>
        </w:tc>
        <w:tc>
          <w:tcPr>
            <w:tcW w:w="2884" w:type="dxa"/>
            <w:vAlign w:val="center"/>
            <w:hideMark/>
          </w:tcPr>
          <w:p w14:paraId="03FE0A3D" w14:textId="77777777" w:rsidR="00ED1F95" w:rsidRPr="00ED1F95" w:rsidRDefault="00ED1F95" w:rsidP="00036834">
            <w:pPr>
              <w:rPr>
                <w:rFonts w:ascii="Tahoma" w:hAnsi="Tahoma" w:cs="Tahoma"/>
              </w:rPr>
            </w:pPr>
            <w:r w:rsidRPr="00ED1F95">
              <w:rPr>
                <w:rFonts w:ascii="Tahoma" w:hAnsi="Tahoma" w:cs="Tahoma"/>
              </w:rPr>
              <w:t>Inwentaryzacja urządzeń i widoczność zasobów OT</w:t>
            </w:r>
          </w:p>
        </w:tc>
        <w:tc>
          <w:tcPr>
            <w:tcW w:w="6089" w:type="dxa"/>
            <w:hideMark/>
          </w:tcPr>
          <w:p w14:paraId="43DB76DD" w14:textId="18FB95C8"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w:t>
            </w:r>
            <w:r w:rsidR="00E849DB" w:rsidRPr="00E849DB">
              <w:rPr>
                <w:rFonts w:ascii="Tahoma" w:hAnsi="Tahoma" w:cs="Tahoma"/>
              </w:rPr>
              <w:t xml:space="preserve"> </w:t>
            </w:r>
            <w:r>
              <w:rPr>
                <w:rFonts w:ascii="Tahoma" w:hAnsi="Tahoma" w:cs="Tahoma"/>
              </w:rPr>
              <w:t xml:space="preserve">musi umożliwiać </w:t>
            </w:r>
            <w:r w:rsidR="00E849DB" w:rsidRPr="00E849DB">
              <w:rPr>
                <w:rFonts w:ascii="Tahoma" w:hAnsi="Tahoma" w:cs="Tahoma"/>
              </w:rPr>
              <w:t xml:space="preserve">automatyczną inwentaryzację urządzeń w sieci OT </w:t>
            </w:r>
            <w:r w:rsidRPr="004C5C3E">
              <w:rPr>
                <w:rFonts w:ascii="Tahoma" w:hAnsi="Tahoma" w:cs="Tahoma"/>
              </w:rPr>
              <w:t>oraz zapewniać możliwie pełną widoczność zasobów w monitorowanym segmencie sieci, w zakresie wynikającym z obserwowanego ruchu i architektury wdrożenia</w:t>
            </w:r>
            <w:r w:rsidR="00E849DB" w:rsidRPr="00E849DB">
              <w:rPr>
                <w:rFonts w:ascii="Tahoma" w:hAnsi="Tahoma" w:cs="Tahoma"/>
              </w:rPr>
              <w:t>, w tym identyfikację typów urządzeń (np. PLC, HMI, RTU, IED, stacje SCADA), ich adresacji, wykorzystywanych protokołów.</w:t>
            </w:r>
          </w:p>
        </w:tc>
      </w:tr>
      <w:tr w:rsidR="00ED1F95" w:rsidRPr="00ED1F95" w14:paraId="75E1995E" w14:textId="77777777" w:rsidTr="00036834">
        <w:tc>
          <w:tcPr>
            <w:tcW w:w="0" w:type="auto"/>
            <w:vAlign w:val="center"/>
            <w:hideMark/>
          </w:tcPr>
          <w:p w14:paraId="256416E7" w14:textId="541A8D02" w:rsidR="00ED1F95" w:rsidRPr="00ED1F95" w:rsidRDefault="00ED1F95" w:rsidP="00036834">
            <w:pPr>
              <w:rPr>
                <w:rFonts w:ascii="Tahoma" w:hAnsi="Tahoma" w:cs="Tahoma"/>
              </w:rPr>
            </w:pPr>
            <w:r w:rsidRPr="00ED1F95">
              <w:rPr>
                <w:rFonts w:ascii="Tahoma" w:hAnsi="Tahoma" w:cs="Tahoma"/>
              </w:rPr>
              <w:t>1</w:t>
            </w:r>
            <w:r w:rsidR="00535241">
              <w:rPr>
                <w:rFonts w:ascii="Tahoma" w:hAnsi="Tahoma" w:cs="Tahoma"/>
              </w:rPr>
              <w:t>1</w:t>
            </w:r>
          </w:p>
        </w:tc>
        <w:tc>
          <w:tcPr>
            <w:tcW w:w="2884" w:type="dxa"/>
            <w:vAlign w:val="center"/>
            <w:hideMark/>
          </w:tcPr>
          <w:p w14:paraId="0BCF5C49" w14:textId="77777777" w:rsidR="00ED1F95" w:rsidRPr="00ED1F95" w:rsidRDefault="00ED1F95" w:rsidP="00036834">
            <w:pPr>
              <w:rPr>
                <w:rFonts w:ascii="Tahoma" w:hAnsi="Tahoma" w:cs="Tahoma"/>
              </w:rPr>
            </w:pPr>
            <w:r w:rsidRPr="00ED1F95">
              <w:rPr>
                <w:rFonts w:ascii="Tahoma" w:hAnsi="Tahoma" w:cs="Tahoma"/>
              </w:rPr>
              <w:t>Tryb nauki / automatyczne profilowanie ruchu</w:t>
            </w:r>
          </w:p>
        </w:tc>
        <w:tc>
          <w:tcPr>
            <w:tcW w:w="6089" w:type="dxa"/>
            <w:hideMark/>
          </w:tcPr>
          <w:p w14:paraId="2D14111F" w14:textId="605ACE78"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dostarczanym w ramach zamówienia</w:t>
            </w:r>
            <w:r>
              <w:rPr>
                <w:rFonts w:ascii="Tahoma" w:hAnsi="Tahoma" w:cs="Tahoma"/>
              </w:rPr>
              <w:t xml:space="preserve">, musi umożliwiać </w:t>
            </w:r>
            <w:r w:rsidR="00E849DB" w:rsidRPr="00E849DB">
              <w:rPr>
                <w:rFonts w:ascii="Tahoma" w:hAnsi="Tahoma" w:cs="Tahoma"/>
              </w:rPr>
              <w:t>pracę w trybie nauki, pozwalającym na automatyczne profilowanie ruchu sieciowego oraz budowę modelu normalnej komunikacji w monitorowanej sieci OT, w celu wspierania tworzenia polityk bezpieczeństwa, wykrywania odchyleń od typowych wzorców komunikacyjnych oraz ograniczenia liczby fałszywych alarmów.</w:t>
            </w:r>
          </w:p>
        </w:tc>
      </w:tr>
      <w:tr w:rsidR="00ED1F95" w:rsidRPr="00ED1F95" w14:paraId="3100D38C" w14:textId="77777777" w:rsidTr="00036834">
        <w:tc>
          <w:tcPr>
            <w:tcW w:w="0" w:type="auto"/>
            <w:vAlign w:val="center"/>
            <w:hideMark/>
          </w:tcPr>
          <w:p w14:paraId="6AC59372" w14:textId="383CF253" w:rsidR="00ED1F95" w:rsidRPr="00ED1F95" w:rsidRDefault="00ED1F95" w:rsidP="00036834">
            <w:pPr>
              <w:rPr>
                <w:rFonts w:ascii="Tahoma" w:hAnsi="Tahoma" w:cs="Tahoma"/>
              </w:rPr>
            </w:pPr>
            <w:r w:rsidRPr="00ED1F95">
              <w:rPr>
                <w:rFonts w:ascii="Tahoma" w:hAnsi="Tahoma" w:cs="Tahoma"/>
              </w:rPr>
              <w:t>1</w:t>
            </w:r>
            <w:r w:rsidR="00535241">
              <w:rPr>
                <w:rFonts w:ascii="Tahoma" w:hAnsi="Tahoma" w:cs="Tahoma"/>
              </w:rPr>
              <w:t>2</w:t>
            </w:r>
          </w:p>
        </w:tc>
        <w:tc>
          <w:tcPr>
            <w:tcW w:w="2884" w:type="dxa"/>
            <w:vAlign w:val="center"/>
            <w:hideMark/>
          </w:tcPr>
          <w:p w14:paraId="38B6769F" w14:textId="77777777" w:rsidR="00ED1F95" w:rsidRPr="00ED1F95" w:rsidRDefault="00ED1F95" w:rsidP="00036834">
            <w:pPr>
              <w:rPr>
                <w:rFonts w:ascii="Tahoma" w:hAnsi="Tahoma" w:cs="Tahoma"/>
              </w:rPr>
            </w:pPr>
            <w:r w:rsidRPr="00ED1F95">
              <w:rPr>
                <w:rFonts w:ascii="Tahoma" w:hAnsi="Tahoma" w:cs="Tahoma"/>
              </w:rPr>
              <w:t>Mechanizmy alarmowania i rejestracji zdarzeń</w:t>
            </w:r>
          </w:p>
        </w:tc>
        <w:tc>
          <w:tcPr>
            <w:tcW w:w="6089" w:type="dxa"/>
            <w:hideMark/>
          </w:tcPr>
          <w:p w14:paraId="4AF1957E" w14:textId="06F145E0" w:rsidR="00ED1F95" w:rsidRPr="00ED1F95" w:rsidRDefault="004C5C3E" w:rsidP="0065517E">
            <w:pPr>
              <w:spacing w:line="276" w:lineRule="auto"/>
              <w:jc w:val="both"/>
              <w:rPr>
                <w:rFonts w:ascii="Tahoma" w:hAnsi="Tahoma" w:cs="Tahoma"/>
              </w:rPr>
            </w:pPr>
            <w:r w:rsidRPr="004C5C3E">
              <w:rPr>
                <w:rFonts w:ascii="Tahoma" w:hAnsi="Tahoma" w:cs="Tahoma"/>
              </w:rPr>
              <w:t>Urządzenie, samodzielnie lub we współpracy z centralnym systemem bezpieczeństwa OT, musi zapewniać mechanizmy alarmowania i rejestracji zdarzeń, umożliwiające generowanie powiadomień o wykrytych incydentach i nieprawidłowościach w czasie zbliżonym do rzeczywistego oraz filtrowanie, przeszukiwanie i analizę zarejestrowanych zdarzeń.</w:t>
            </w:r>
          </w:p>
        </w:tc>
      </w:tr>
      <w:tr w:rsidR="00ED1F95" w:rsidRPr="00ED1F95" w14:paraId="7E50D524" w14:textId="77777777" w:rsidTr="00036834">
        <w:tc>
          <w:tcPr>
            <w:tcW w:w="0" w:type="auto"/>
            <w:vAlign w:val="center"/>
            <w:hideMark/>
          </w:tcPr>
          <w:p w14:paraId="4E67ED03" w14:textId="65A02CC4" w:rsidR="00ED1F95" w:rsidRPr="00ED1F95" w:rsidRDefault="00ED1F95" w:rsidP="00036834">
            <w:pPr>
              <w:rPr>
                <w:rFonts w:ascii="Tahoma" w:hAnsi="Tahoma" w:cs="Tahoma"/>
              </w:rPr>
            </w:pPr>
            <w:r w:rsidRPr="00ED1F95">
              <w:rPr>
                <w:rFonts w:ascii="Tahoma" w:hAnsi="Tahoma" w:cs="Tahoma"/>
              </w:rPr>
              <w:t>1</w:t>
            </w:r>
            <w:r w:rsidR="00535241">
              <w:rPr>
                <w:rFonts w:ascii="Tahoma" w:hAnsi="Tahoma" w:cs="Tahoma"/>
              </w:rPr>
              <w:t>3</w:t>
            </w:r>
          </w:p>
        </w:tc>
        <w:tc>
          <w:tcPr>
            <w:tcW w:w="2884" w:type="dxa"/>
            <w:vAlign w:val="center"/>
            <w:hideMark/>
          </w:tcPr>
          <w:p w14:paraId="03FC7B96" w14:textId="77777777" w:rsidR="00ED1F95" w:rsidRPr="00ED1F95" w:rsidRDefault="00ED1F95" w:rsidP="00036834">
            <w:pPr>
              <w:rPr>
                <w:rFonts w:ascii="Tahoma" w:hAnsi="Tahoma" w:cs="Tahoma"/>
              </w:rPr>
            </w:pPr>
            <w:r w:rsidRPr="00ED1F95">
              <w:rPr>
                <w:rFonts w:ascii="Tahoma" w:hAnsi="Tahoma" w:cs="Tahoma"/>
              </w:rPr>
              <w:t>Aktualizacja oprogramowania i sygnatur</w:t>
            </w:r>
          </w:p>
        </w:tc>
        <w:tc>
          <w:tcPr>
            <w:tcW w:w="6089" w:type="dxa"/>
            <w:hideMark/>
          </w:tcPr>
          <w:p w14:paraId="26E9D4EF" w14:textId="77777777" w:rsidR="004C5C3E" w:rsidRDefault="004C5C3E" w:rsidP="0065517E">
            <w:pPr>
              <w:spacing w:line="276" w:lineRule="auto"/>
              <w:jc w:val="both"/>
              <w:rPr>
                <w:rFonts w:ascii="Tahoma" w:hAnsi="Tahoma" w:cs="Tahoma"/>
              </w:rPr>
            </w:pPr>
            <w:r w:rsidRPr="004C5C3E">
              <w:rPr>
                <w:rFonts w:ascii="Tahoma" w:hAnsi="Tahoma" w:cs="Tahoma"/>
              </w:rPr>
              <w:t xml:space="preserve">Urządzenie musi umożliwiać aktualizację oprogramowania wewnętrznego oraz, jeśli dotyczy, baz sygnatur i mechanizmów detekcyjnych, lokalnie lub za pośrednictwem systemu centralnego, w sposób autoryzowany i bezpieczny, zapewniający utrzymanie </w:t>
            </w:r>
            <w:r w:rsidRPr="004C5C3E">
              <w:rPr>
                <w:rFonts w:ascii="Tahoma" w:hAnsi="Tahoma" w:cs="Tahoma"/>
              </w:rPr>
              <w:lastRenderedPageBreak/>
              <w:t>aktualności ochrony przed znanymi zagrożeniami i podatnościami.</w:t>
            </w:r>
          </w:p>
          <w:p w14:paraId="081DE7C3" w14:textId="1C7D568B" w:rsidR="00AF0F6C" w:rsidRPr="00ED1F95" w:rsidRDefault="00AF0F6C" w:rsidP="0065517E">
            <w:pPr>
              <w:spacing w:line="276" w:lineRule="auto"/>
              <w:jc w:val="both"/>
              <w:rPr>
                <w:rFonts w:ascii="Tahoma" w:hAnsi="Tahoma" w:cs="Tahoma"/>
              </w:rPr>
            </w:pPr>
            <w:r w:rsidRPr="00AF0F6C">
              <w:rPr>
                <w:rFonts w:ascii="Tahoma" w:hAnsi="Tahoma" w:cs="Tahoma"/>
              </w:rPr>
              <w:t>Jeżeli architektura oferowanego rozwiązania przewiduje pracę w środowisku odseparowanym od Internetu, aktualizacja oprogramowania, sygnatur, mechanizmów detekcyjnych lub innych danych niezbędnych do prawidłowej pracy sond musi być możliwa również w trybie offline, w sposób bezpieczny i autoryzowany, w szczególności z wykorzystaniem paczek aktualizacyjnych dostarczanych przez producenta lub Wykonawcę oraz z możliwością ich kontrolowanego wdrożenia przez administratora.</w:t>
            </w:r>
          </w:p>
        </w:tc>
      </w:tr>
      <w:tr w:rsidR="00ED1F95" w:rsidRPr="00ED1F95" w14:paraId="1FA692F7" w14:textId="77777777" w:rsidTr="00036834">
        <w:tc>
          <w:tcPr>
            <w:tcW w:w="0" w:type="auto"/>
            <w:vAlign w:val="center"/>
            <w:hideMark/>
          </w:tcPr>
          <w:p w14:paraId="7E0DB3D8" w14:textId="2160E766" w:rsidR="00ED1F95" w:rsidRPr="00ED1F95" w:rsidRDefault="00ED1F95" w:rsidP="00036834">
            <w:pPr>
              <w:rPr>
                <w:rFonts w:ascii="Tahoma" w:hAnsi="Tahoma" w:cs="Tahoma"/>
              </w:rPr>
            </w:pPr>
            <w:r w:rsidRPr="00ED1F95">
              <w:rPr>
                <w:rFonts w:ascii="Tahoma" w:hAnsi="Tahoma" w:cs="Tahoma"/>
              </w:rPr>
              <w:lastRenderedPageBreak/>
              <w:t>1</w:t>
            </w:r>
            <w:r w:rsidR="00535241">
              <w:rPr>
                <w:rFonts w:ascii="Tahoma" w:hAnsi="Tahoma" w:cs="Tahoma"/>
              </w:rPr>
              <w:t>4</w:t>
            </w:r>
          </w:p>
        </w:tc>
        <w:tc>
          <w:tcPr>
            <w:tcW w:w="2884" w:type="dxa"/>
            <w:vAlign w:val="center"/>
            <w:hideMark/>
          </w:tcPr>
          <w:p w14:paraId="6EB969B7" w14:textId="77777777" w:rsidR="00ED1F95" w:rsidRPr="00ED1F95" w:rsidRDefault="00ED1F95" w:rsidP="00036834">
            <w:pPr>
              <w:rPr>
                <w:rFonts w:ascii="Tahoma" w:hAnsi="Tahoma" w:cs="Tahoma"/>
              </w:rPr>
            </w:pPr>
            <w:r w:rsidRPr="00ED1F95">
              <w:rPr>
                <w:rFonts w:ascii="Tahoma" w:hAnsi="Tahoma" w:cs="Tahoma"/>
              </w:rPr>
              <w:t>Bezpieczeństwo komunikacji i dostępu administracyjnego</w:t>
            </w:r>
          </w:p>
        </w:tc>
        <w:tc>
          <w:tcPr>
            <w:tcW w:w="6089" w:type="dxa"/>
            <w:hideMark/>
          </w:tcPr>
          <w:p w14:paraId="5A19823F" w14:textId="12611498" w:rsidR="00ED1F95" w:rsidRPr="00ED1F95" w:rsidRDefault="004C5C3E" w:rsidP="0065517E">
            <w:pPr>
              <w:spacing w:line="276" w:lineRule="auto"/>
              <w:jc w:val="both"/>
              <w:rPr>
                <w:rFonts w:ascii="Tahoma" w:hAnsi="Tahoma" w:cs="Tahoma"/>
              </w:rPr>
            </w:pPr>
            <w:r w:rsidRPr="004C5C3E">
              <w:rPr>
                <w:rFonts w:ascii="Tahoma" w:hAnsi="Tahoma" w:cs="Tahoma"/>
              </w:rPr>
              <w:t>Urządzenie musi zapewniać bezpieczną komunikację oraz bezpieczny dostęp administracyjny, obejmujące co najmniej mechanizmy uwierzytelniania, autoryzacji, możliwość nadawania ról lub poziomów uprawnień, a także korzystanie z bezpiecznych protokołów administracyjnych.</w:t>
            </w:r>
          </w:p>
        </w:tc>
      </w:tr>
      <w:tr w:rsidR="00ED1F95" w:rsidRPr="00ED1F95" w14:paraId="4900388D" w14:textId="77777777" w:rsidTr="00036834">
        <w:tc>
          <w:tcPr>
            <w:tcW w:w="0" w:type="auto"/>
            <w:vAlign w:val="center"/>
            <w:hideMark/>
          </w:tcPr>
          <w:p w14:paraId="47DB55D3" w14:textId="34AD3A12" w:rsidR="00ED1F95" w:rsidRPr="00ED1F95" w:rsidRDefault="00104159" w:rsidP="00036834">
            <w:pPr>
              <w:rPr>
                <w:rFonts w:ascii="Tahoma" w:hAnsi="Tahoma" w:cs="Tahoma"/>
              </w:rPr>
            </w:pPr>
            <w:r>
              <w:rPr>
                <w:rFonts w:ascii="Tahoma" w:hAnsi="Tahoma" w:cs="Tahoma"/>
              </w:rPr>
              <w:t>1</w:t>
            </w:r>
            <w:r w:rsidR="00535241">
              <w:rPr>
                <w:rFonts w:ascii="Tahoma" w:hAnsi="Tahoma" w:cs="Tahoma"/>
              </w:rPr>
              <w:t>5</w:t>
            </w:r>
          </w:p>
        </w:tc>
        <w:tc>
          <w:tcPr>
            <w:tcW w:w="2884" w:type="dxa"/>
            <w:vAlign w:val="center"/>
            <w:hideMark/>
          </w:tcPr>
          <w:p w14:paraId="4478584B" w14:textId="77777777" w:rsidR="00ED1F95" w:rsidRPr="00ED1F95" w:rsidRDefault="00ED1F95" w:rsidP="00036834">
            <w:pPr>
              <w:rPr>
                <w:rFonts w:ascii="Tahoma" w:hAnsi="Tahoma" w:cs="Tahoma"/>
              </w:rPr>
            </w:pPr>
            <w:r w:rsidRPr="00ED1F95">
              <w:rPr>
                <w:rFonts w:ascii="Tahoma" w:hAnsi="Tahoma" w:cs="Tahoma"/>
              </w:rPr>
              <w:t>Sposób montażu</w:t>
            </w:r>
          </w:p>
        </w:tc>
        <w:tc>
          <w:tcPr>
            <w:tcW w:w="6089" w:type="dxa"/>
            <w:hideMark/>
          </w:tcPr>
          <w:p w14:paraId="57E00A83" w14:textId="1DD3112F" w:rsidR="00ED1F95" w:rsidRPr="00ED1F95" w:rsidRDefault="004C5C3E" w:rsidP="0065517E">
            <w:pPr>
              <w:spacing w:line="276" w:lineRule="auto"/>
              <w:jc w:val="both"/>
              <w:rPr>
                <w:rFonts w:ascii="Tahoma" w:hAnsi="Tahoma" w:cs="Tahoma"/>
              </w:rPr>
            </w:pPr>
            <w:r w:rsidRPr="004C5C3E">
              <w:rPr>
                <w:rFonts w:ascii="Tahoma" w:hAnsi="Tahoma" w:cs="Tahoma"/>
              </w:rPr>
              <w:t>Sondy muszą być przystosowane do montażu w docelowej infrastrukturze technicznej dostarczanej w ramach zamówienia, w szczególności w szafach rack lub szafach sterowniczych, z uwzględnieniem wymaganej przestrzeni montażowej, sposobu zasilania oraz warunków środowiskowych.</w:t>
            </w:r>
          </w:p>
        </w:tc>
      </w:tr>
      <w:tr w:rsidR="00ED1F95" w:rsidRPr="00ED1F95" w14:paraId="59742314" w14:textId="77777777" w:rsidTr="00036834">
        <w:tc>
          <w:tcPr>
            <w:tcW w:w="0" w:type="auto"/>
            <w:vAlign w:val="center"/>
            <w:hideMark/>
          </w:tcPr>
          <w:p w14:paraId="288667D2" w14:textId="4266B78B" w:rsidR="00ED1F95" w:rsidRPr="00ED1F95" w:rsidRDefault="00104159" w:rsidP="00036834">
            <w:pPr>
              <w:rPr>
                <w:rFonts w:ascii="Tahoma" w:hAnsi="Tahoma" w:cs="Tahoma"/>
              </w:rPr>
            </w:pPr>
            <w:r>
              <w:rPr>
                <w:rFonts w:ascii="Tahoma" w:hAnsi="Tahoma" w:cs="Tahoma"/>
              </w:rPr>
              <w:t>1</w:t>
            </w:r>
            <w:r w:rsidR="00535241">
              <w:rPr>
                <w:rFonts w:ascii="Tahoma" w:hAnsi="Tahoma" w:cs="Tahoma"/>
              </w:rPr>
              <w:t>6</w:t>
            </w:r>
          </w:p>
        </w:tc>
        <w:tc>
          <w:tcPr>
            <w:tcW w:w="2884" w:type="dxa"/>
            <w:vAlign w:val="center"/>
            <w:hideMark/>
          </w:tcPr>
          <w:p w14:paraId="47499AA9" w14:textId="77777777" w:rsidR="00ED1F95" w:rsidRPr="00ED1F95" w:rsidRDefault="00ED1F95" w:rsidP="00036834">
            <w:pPr>
              <w:rPr>
                <w:rFonts w:ascii="Tahoma" w:hAnsi="Tahoma" w:cs="Tahoma"/>
              </w:rPr>
            </w:pPr>
            <w:r w:rsidRPr="00ED1F95">
              <w:rPr>
                <w:rFonts w:ascii="Tahoma" w:hAnsi="Tahoma" w:cs="Tahoma"/>
              </w:rPr>
              <w:t>Warunki środowiskowe pracy</w:t>
            </w:r>
          </w:p>
        </w:tc>
        <w:tc>
          <w:tcPr>
            <w:tcW w:w="6089" w:type="dxa"/>
            <w:hideMark/>
          </w:tcPr>
          <w:p w14:paraId="6DBF2826" w14:textId="519B9F8D" w:rsidR="00ED1F95" w:rsidRPr="00ED1F95" w:rsidRDefault="005C68C4" w:rsidP="0065517E">
            <w:pPr>
              <w:spacing w:line="276" w:lineRule="auto"/>
              <w:jc w:val="both"/>
              <w:rPr>
                <w:rFonts w:ascii="Tahoma" w:hAnsi="Tahoma" w:cs="Tahoma"/>
              </w:rPr>
            </w:pPr>
            <w:r w:rsidRPr="005C68C4">
              <w:rPr>
                <w:rFonts w:ascii="Tahoma" w:hAnsi="Tahoma" w:cs="Tahoma"/>
              </w:rPr>
              <w:t>Urządzenie musi być przystosowane do pracy w warunkach środowiskowych typowych dla infrastruktury OT, w tym w szerokim zakresie temperatur pracy oraz wilgotności, z zachowaniem stabilności działania w środowisku przemysłowym, w szczególności w szafach sterowniczych lub serwerowych.</w:t>
            </w:r>
          </w:p>
        </w:tc>
      </w:tr>
      <w:tr w:rsidR="000A3EEA" w:rsidRPr="00ED1F95" w14:paraId="3F429650" w14:textId="77777777" w:rsidTr="00036834">
        <w:tc>
          <w:tcPr>
            <w:tcW w:w="0" w:type="auto"/>
            <w:vAlign w:val="center"/>
          </w:tcPr>
          <w:p w14:paraId="02D72A69" w14:textId="639E9853" w:rsidR="000A3EEA" w:rsidRDefault="00F86CB8" w:rsidP="00036834">
            <w:pPr>
              <w:rPr>
                <w:rFonts w:ascii="Tahoma" w:hAnsi="Tahoma" w:cs="Tahoma"/>
              </w:rPr>
            </w:pPr>
            <w:r>
              <w:rPr>
                <w:rFonts w:ascii="Tahoma" w:hAnsi="Tahoma" w:cs="Tahoma"/>
              </w:rPr>
              <w:lastRenderedPageBreak/>
              <w:t>17</w:t>
            </w:r>
          </w:p>
        </w:tc>
        <w:tc>
          <w:tcPr>
            <w:tcW w:w="2884" w:type="dxa"/>
            <w:vAlign w:val="center"/>
          </w:tcPr>
          <w:p w14:paraId="1382B346" w14:textId="027B6A66" w:rsidR="000A3EEA" w:rsidRPr="00ED1F95" w:rsidRDefault="000A3EEA" w:rsidP="00036834">
            <w:pPr>
              <w:rPr>
                <w:rFonts w:ascii="Tahoma" w:hAnsi="Tahoma" w:cs="Tahoma"/>
              </w:rPr>
            </w:pPr>
            <w:r w:rsidRPr="000A3EEA">
              <w:rPr>
                <w:rFonts w:ascii="Tahoma" w:hAnsi="Tahoma" w:cs="Tahoma"/>
              </w:rPr>
              <w:t>Zasilanie urządzenia</w:t>
            </w:r>
          </w:p>
        </w:tc>
        <w:tc>
          <w:tcPr>
            <w:tcW w:w="6089" w:type="dxa"/>
          </w:tcPr>
          <w:p w14:paraId="18242F98" w14:textId="0D9B8350" w:rsidR="000A3EEA" w:rsidRPr="005C68C4" w:rsidRDefault="000A3EEA" w:rsidP="0065517E">
            <w:pPr>
              <w:spacing w:line="276" w:lineRule="auto"/>
              <w:jc w:val="both"/>
              <w:rPr>
                <w:rFonts w:ascii="Tahoma" w:hAnsi="Tahoma" w:cs="Tahoma"/>
              </w:rPr>
            </w:pPr>
            <w:r w:rsidRPr="000A3EEA">
              <w:rPr>
                <w:rFonts w:ascii="Tahoma" w:hAnsi="Tahoma" w:cs="Tahoma"/>
              </w:rPr>
              <w:t>Urządzenie musi być przystosowane do zasilania zgodnego z warunkami technicznymi lokalizacji Zamawiającego. Wykonawca zobowiązany jest wskazać wymagany typ zasilania, pobór mocy oraz sposób podłączenia zasilania dla oferowanego urządzenia.</w:t>
            </w:r>
          </w:p>
        </w:tc>
      </w:tr>
      <w:tr w:rsidR="000A3EEA" w:rsidRPr="00ED1F95" w14:paraId="73E2B675" w14:textId="77777777" w:rsidTr="00036834">
        <w:tc>
          <w:tcPr>
            <w:tcW w:w="0" w:type="auto"/>
            <w:vAlign w:val="center"/>
          </w:tcPr>
          <w:p w14:paraId="01C1236C" w14:textId="6EE3A62B" w:rsidR="000A3EEA" w:rsidRDefault="00F86CB8" w:rsidP="00036834">
            <w:pPr>
              <w:rPr>
                <w:rFonts w:ascii="Tahoma" w:hAnsi="Tahoma" w:cs="Tahoma"/>
              </w:rPr>
            </w:pPr>
            <w:r>
              <w:rPr>
                <w:rFonts w:ascii="Tahoma" w:hAnsi="Tahoma" w:cs="Tahoma"/>
              </w:rPr>
              <w:t>18</w:t>
            </w:r>
          </w:p>
        </w:tc>
        <w:tc>
          <w:tcPr>
            <w:tcW w:w="2884" w:type="dxa"/>
            <w:vAlign w:val="center"/>
          </w:tcPr>
          <w:p w14:paraId="69789104" w14:textId="012A8333" w:rsidR="000A3EEA" w:rsidRPr="000A3EEA" w:rsidRDefault="000A3EEA" w:rsidP="00036834">
            <w:pPr>
              <w:rPr>
                <w:rFonts w:ascii="Tahoma" w:hAnsi="Tahoma" w:cs="Tahoma"/>
              </w:rPr>
            </w:pPr>
            <w:r w:rsidRPr="000A3EEA">
              <w:rPr>
                <w:rFonts w:ascii="Tahoma" w:hAnsi="Tahoma" w:cs="Tahoma"/>
              </w:rPr>
              <w:t>Odporność konstrukcyjna i niezawodność</w:t>
            </w:r>
          </w:p>
        </w:tc>
        <w:tc>
          <w:tcPr>
            <w:tcW w:w="6089" w:type="dxa"/>
          </w:tcPr>
          <w:p w14:paraId="51603BCB" w14:textId="3A498DEC" w:rsidR="000A3EEA" w:rsidRPr="000A3EEA" w:rsidRDefault="000A3EEA" w:rsidP="0065517E">
            <w:pPr>
              <w:spacing w:line="276" w:lineRule="auto"/>
              <w:jc w:val="both"/>
              <w:rPr>
                <w:rFonts w:ascii="Tahoma" w:hAnsi="Tahoma" w:cs="Tahoma"/>
              </w:rPr>
            </w:pPr>
            <w:r w:rsidRPr="000A3EEA">
              <w:rPr>
                <w:rFonts w:ascii="Tahoma" w:hAnsi="Tahoma" w:cs="Tahoma"/>
              </w:rPr>
              <w:t>Urządzenie musi być przeznaczone do pracy ciągłej 24/7. Jeżeli wynika to z miejsca montażu, Zamawiający wymaga konstrukcji przemysłowej, zapewniającej stabilną pracę w warunkach środowiska OT.</w:t>
            </w:r>
          </w:p>
        </w:tc>
      </w:tr>
      <w:tr w:rsidR="00ED1F95" w:rsidRPr="00ED1F95" w14:paraId="4415383B" w14:textId="77777777" w:rsidTr="00036834">
        <w:tc>
          <w:tcPr>
            <w:tcW w:w="0" w:type="auto"/>
            <w:vAlign w:val="center"/>
            <w:hideMark/>
          </w:tcPr>
          <w:p w14:paraId="744FFEDA" w14:textId="4F53BE93" w:rsidR="00ED1F95" w:rsidRPr="00ED1F95" w:rsidRDefault="00104159" w:rsidP="00036834">
            <w:pPr>
              <w:rPr>
                <w:rFonts w:ascii="Tahoma" w:hAnsi="Tahoma" w:cs="Tahoma"/>
              </w:rPr>
            </w:pPr>
            <w:r>
              <w:rPr>
                <w:rFonts w:ascii="Tahoma" w:hAnsi="Tahoma" w:cs="Tahoma"/>
              </w:rPr>
              <w:t>1</w:t>
            </w:r>
            <w:r w:rsidR="00F86CB8">
              <w:rPr>
                <w:rFonts w:ascii="Tahoma" w:hAnsi="Tahoma" w:cs="Tahoma"/>
              </w:rPr>
              <w:t>9</w:t>
            </w:r>
          </w:p>
        </w:tc>
        <w:tc>
          <w:tcPr>
            <w:tcW w:w="2884" w:type="dxa"/>
            <w:vAlign w:val="center"/>
            <w:hideMark/>
          </w:tcPr>
          <w:p w14:paraId="3BF0E629" w14:textId="77777777" w:rsidR="00ED1F95" w:rsidRPr="00ED1F95" w:rsidRDefault="00ED1F95" w:rsidP="00036834">
            <w:pPr>
              <w:rPr>
                <w:rFonts w:ascii="Tahoma" w:hAnsi="Tahoma" w:cs="Tahoma"/>
              </w:rPr>
            </w:pPr>
            <w:r w:rsidRPr="00ED1F95">
              <w:rPr>
                <w:rFonts w:ascii="Tahoma" w:hAnsi="Tahoma" w:cs="Tahoma"/>
              </w:rPr>
              <w:t>Licencjonowanie</w:t>
            </w:r>
          </w:p>
        </w:tc>
        <w:tc>
          <w:tcPr>
            <w:tcW w:w="6089" w:type="dxa"/>
            <w:hideMark/>
          </w:tcPr>
          <w:p w14:paraId="1188682F" w14:textId="77777777" w:rsidR="00ED1F95" w:rsidRDefault="004C5C3E" w:rsidP="0065517E">
            <w:pPr>
              <w:spacing w:line="276" w:lineRule="auto"/>
              <w:jc w:val="both"/>
              <w:rPr>
                <w:rFonts w:ascii="Tahoma" w:hAnsi="Tahoma" w:cs="Tahoma"/>
              </w:rPr>
            </w:pPr>
            <w:r w:rsidRPr="004C5C3E">
              <w:rPr>
                <w:rFonts w:ascii="Tahoma" w:hAnsi="Tahoma" w:cs="Tahoma"/>
              </w:rPr>
              <w:t>Dostarczone urządzenie wraz z funkcjonalnościami niezbędnymi do jego podstawowej eksploatacji musi być objęte licencją lub prawem do użytkowania nieograniczonym czasowo, uprawniającym Zamawiającego do bezterminowego korzystania z urządzenia co najmniej w zakresie funkcji podstawowych, bez konieczności ponoszenia dodatkowych opłat za dalsze użytkowanie samego urządzenia.</w:t>
            </w:r>
          </w:p>
          <w:p w14:paraId="23BA7B34" w14:textId="2C23B51B" w:rsidR="00E05B94" w:rsidRPr="00ED1F95" w:rsidRDefault="00E05B94" w:rsidP="0065517E">
            <w:pPr>
              <w:spacing w:line="276" w:lineRule="auto"/>
              <w:jc w:val="both"/>
              <w:rPr>
                <w:rFonts w:ascii="Tahoma" w:hAnsi="Tahoma" w:cs="Tahoma"/>
              </w:rPr>
            </w:pPr>
            <w:r w:rsidRPr="00E05B94">
              <w:rPr>
                <w:rFonts w:ascii="Tahoma" w:hAnsi="Tahoma" w:cs="Tahoma"/>
              </w:rPr>
              <w:t>Jeżeli aktualizacje oprogramowania wewnętrznego sond, poprawki bezpieczeństwa, sterowniki, moduły integracyjne lub inne elementy techniczne są niezbędne do utrzymania prawidłowej współpracy sond z centralnym systemem bezpieczeństwa OT IDS/IPS, ich koszt za okres wymagany w OPZ oraz formularzu oferty musi zostać ujęty w cenie oferty i nie może stanowić dodatkowego, nieujawnionego.</w:t>
            </w:r>
          </w:p>
        </w:tc>
      </w:tr>
      <w:tr w:rsidR="005C68C4" w:rsidRPr="00ED1F95" w14:paraId="68F504E1" w14:textId="77777777" w:rsidTr="00036834">
        <w:tc>
          <w:tcPr>
            <w:tcW w:w="0" w:type="auto"/>
            <w:vAlign w:val="center"/>
          </w:tcPr>
          <w:p w14:paraId="3491FB74" w14:textId="14B7C27D" w:rsidR="005C68C4" w:rsidRPr="00ED1F95" w:rsidRDefault="00F86CB8" w:rsidP="00036834">
            <w:pPr>
              <w:rPr>
                <w:rFonts w:ascii="Tahoma" w:hAnsi="Tahoma" w:cs="Tahoma"/>
              </w:rPr>
            </w:pPr>
            <w:r>
              <w:rPr>
                <w:rFonts w:ascii="Tahoma" w:hAnsi="Tahoma" w:cs="Tahoma"/>
              </w:rPr>
              <w:t>20</w:t>
            </w:r>
          </w:p>
        </w:tc>
        <w:tc>
          <w:tcPr>
            <w:tcW w:w="2884" w:type="dxa"/>
            <w:vAlign w:val="center"/>
          </w:tcPr>
          <w:p w14:paraId="5F685EB1" w14:textId="5AE77FB4" w:rsidR="005C68C4" w:rsidRPr="00ED1F95" w:rsidRDefault="003B74B8" w:rsidP="00036834">
            <w:pPr>
              <w:rPr>
                <w:rFonts w:ascii="Tahoma" w:hAnsi="Tahoma" w:cs="Tahoma"/>
              </w:rPr>
            </w:pPr>
            <w:r>
              <w:rPr>
                <w:rFonts w:ascii="Tahoma" w:hAnsi="Tahoma" w:cs="Tahoma"/>
              </w:rPr>
              <w:t>Subskrypcja</w:t>
            </w:r>
          </w:p>
        </w:tc>
        <w:tc>
          <w:tcPr>
            <w:tcW w:w="6089" w:type="dxa"/>
          </w:tcPr>
          <w:p w14:paraId="5BB0BE03" w14:textId="77777777" w:rsidR="009209C3" w:rsidRPr="009209C3" w:rsidRDefault="009209C3" w:rsidP="009209C3">
            <w:pPr>
              <w:spacing w:line="276" w:lineRule="auto"/>
              <w:jc w:val="both"/>
              <w:rPr>
                <w:rFonts w:ascii="Tahoma" w:hAnsi="Tahoma" w:cs="Tahoma"/>
              </w:rPr>
            </w:pPr>
            <w:r w:rsidRPr="009209C3">
              <w:rPr>
                <w:rFonts w:ascii="Tahoma" w:hAnsi="Tahoma" w:cs="Tahoma"/>
              </w:rPr>
              <w:t xml:space="preserve">Sondy sprzętowe muszą współpracować z centralnym systemem bezpieczeństwa OT IDS/IPS dostarczanym i wdrażanym w ramach zamówienia. Aktualność sygnatur, reguł detekcyjnych, definicji, baz wiedzy, informacji o zagrożeniach, baz podatności, </w:t>
            </w:r>
            <w:r w:rsidRPr="009209C3">
              <w:rPr>
                <w:rFonts w:ascii="Tahoma" w:hAnsi="Tahoma" w:cs="Tahoma"/>
              </w:rPr>
              <w:lastRenderedPageBreak/>
              <w:t>mechanizmów detekcyjnych oraz innych danych niezbędnych do wykrywania zagrożeń, anomalii i podatności w środowisku OT/ICS musi być zapewniana w ramach licencji, subskrypcji, usługi aktualizacyjnej lub utrzymaniowej centralnego systemu bezpieczeństwa OT IDS/IPS.</w:t>
            </w:r>
          </w:p>
          <w:p w14:paraId="267662E4" w14:textId="77777777" w:rsidR="009209C3" w:rsidRPr="009209C3" w:rsidRDefault="009209C3" w:rsidP="009209C3">
            <w:pPr>
              <w:spacing w:line="276" w:lineRule="auto"/>
              <w:jc w:val="both"/>
              <w:rPr>
                <w:rFonts w:ascii="Tahoma" w:hAnsi="Tahoma" w:cs="Tahoma"/>
              </w:rPr>
            </w:pPr>
            <w:r w:rsidRPr="009209C3">
              <w:rPr>
                <w:rFonts w:ascii="Tahoma" w:hAnsi="Tahoma" w:cs="Tahoma"/>
              </w:rPr>
              <w:t>Sondy sprzętowe nie mogą wymagać odrębnej, dodatkowo płatnej subskrypcji na aktualizacje sygnatur, reguł detekcyjnych, baz wiedzy, informacji o zagrożeniach, baz podatności lub mechanizmów detekcyjnych, jeżeli aktualizacje te są zapewniane przez centralny system bezpieczeństwa OT IDS/IPS.</w:t>
            </w:r>
          </w:p>
          <w:p w14:paraId="26BC8A97" w14:textId="6D4E08E1" w:rsidR="009209C3" w:rsidRPr="009209C3" w:rsidRDefault="009209C3" w:rsidP="009209C3">
            <w:pPr>
              <w:spacing w:line="276" w:lineRule="auto"/>
              <w:jc w:val="both"/>
              <w:rPr>
                <w:rFonts w:ascii="Tahoma" w:hAnsi="Tahoma" w:cs="Tahoma"/>
              </w:rPr>
            </w:pPr>
            <w:r w:rsidRPr="009209C3">
              <w:rPr>
                <w:rFonts w:ascii="Tahoma" w:hAnsi="Tahoma" w:cs="Tahoma"/>
              </w:rPr>
              <w:t>Jeżeli architektura oferowanego rozwiązania wymaga aktualizacji oprogramowania wewnętrznego sond, poprawek bezpieczeństwa lub innych danych technicznych niezbędnych do ich prawidłowej współpracy z systemem centralnym, Wykonawca zobowiązany jest zapewnić możliwość wykonywania takich aktualizacji w sposób bezpieczny, autoryzowany i zgodny z dokumentacją producenta, w tym</w:t>
            </w:r>
            <w:r>
              <w:rPr>
                <w:rFonts w:ascii="Tahoma" w:hAnsi="Tahoma" w:cs="Tahoma"/>
              </w:rPr>
              <w:t>,</w:t>
            </w:r>
            <w:r w:rsidRPr="009209C3">
              <w:rPr>
                <w:rFonts w:ascii="Tahoma" w:hAnsi="Tahoma" w:cs="Tahoma"/>
              </w:rPr>
              <w:t xml:space="preserve"> jeżeli dotyczy</w:t>
            </w:r>
            <w:r>
              <w:rPr>
                <w:rFonts w:ascii="Tahoma" w:hAnsi="Tahoma" w:cs="Tahoma"/>
              </w:rPr>
              <w:t>,</w:t>
            </w:r>
            <w:r w:rsidRPr="009209C3">
              <w:rPr>
                <w:rFonts w:ascii="Tahoma" w:hAnsi="Tahoma" w:cs="Tahoma"/>
              </w:rPr>
              <w:t xml:space="preserve"> za pośrednictwem systemu centralnego albo w trybie offline.</w:t>
            </w:r>
          </w:p>
          <w:p w14:paraId="42058611" w14:textId="0D472EB2" w:rsidR="005C68C4" w:rsidRPr="005C68C4" w:rsidRDefault="009209C3" w:rsidP="0065517E">
            <w:pPr>
              <w:spacing w:line="276" w:lineRule="auto"/>
              <w:jc w:val="both"/>
              <w:rPr>
                <w:rFonts w:ascii="Tahoma" w:hAnsi="Tahoma" w:cs="Tahoma"/>
              </w:rPr>
            </w:pPr>
            <w:r w:rsidRPr="009209C3">
              <w:rPr>
                <w:rFonts w:ascii="Tahoma" w:hAnsi="Tahoma" w:cs="Tahoma"/>
              </w:rPr>
              <w:t>Wygaśnięcie subskrypcji centralnego systemu bezpieczeństwa OT IDS/IPS nie może powodować utraty prawa do dalszego korzystania z sond sprzętowych w zakresie funkcji podstawowych, w szczególności możliwości odbioru, obserwacji i przekazywania danych o ruchu sieciowym do systemu centralnego.</w:t>
            </w:r>
          </w:p>
        </w:tc>
      </w:tr>
      <w:tr w:rsidR="008123F5" w:rsidRPr="00ED1F95" w14:paraId="793DE15A" w14:textId="77777777" w:rsidTr="00036834">
        <w:tc>
          <w:tcPr>
            <w:tcW w:w="0" w:type="auto"/>
            <w:vAlign w:val="center"/>
          </w:tcPr>
          <w:p w14:paraId="6079DD38" w14:textId="21C1C958" w:rsidR="008123F5" w:rsidRPr="00ED1F95" w:rsidRDefault="00F86CB8" w:rsidP="00036834">
            <w:pPr>
              <w:rPr>
                <w:rFonts w:ascii="Tahoma" w:hAnsi="Tahoma" w:cs="Tahoma"/>
              </w:rPr>
            </w:pPr>
            <w:r>
              <w:rPr>
                <w:rFonts w:ascii="Tahoma" w:hAnsi="Tahoma" w:cs="Tahoma"/>
              </w:rPr>
              <w:lastRenderedPageBreak/>
              <w:t>21</w:t>
            </w:r>
          </w:p>
        </w:tc>
        <w:tc>
          <w:tcPr>
            <w:tcW w:w="2884" w:type="dxa"/>
            <w:vAlign w:val="center"/>
          </w:tcPr>
          <w:p w14:paraId="3E28A441" w14:textId="61C5FFF6" w:rsidR="008123F5" w:rsidRDefault="008123F5" w:rsidP="00036834">
            <w:pPr>
              <w:rPr>
                <w:rFonts w:ascii="Tahoma" w:hAnsi="Tahoma" w:cs="Tahoma"/>
              </w:rPr>
            </w:pPr>
            <w:r w:rsidRPr="008123F5">
              <w:rPr>
                <w:rFonts w:ascii="Tahoma" w:hAnsi="Tahoma" w:cs="Tahoma"/>
              </w:rPr>
              <w:t>Integracja z systemem IDS/IPS OT</w:t>
            </w:r>
          </w:p>
        </w:tc>
        <w:tc>
          <w:tcPr>
            <w:tcW w:w="6089" w:type="dxa"/>
          </w:tcPr>
          <w:p w14:paraId="38323592" w14:textId="15397531" w:rsidR="008123F5" w:rsidRPr="003B74B8" w:rsidRDefault="004C5C3E" w:rsidP="0065517E">
            <w:pPr>
              <w:spacing w:line="276" w:lineRule="auto"/>
              <w:jc w:val="both"/>
              <w:rPr>
                <w:rFonts w:ascii="Tahoma" w:hAnsi="Tahoma" w:cs="Tahoma"/>
              </w:rPr>
            </w:pPr>
            <w:r w:rsidRPr="004C5C3E">
              <w:rPr>
                <w:rFonts w:ascii="Tahoma" w:hAnsi="Tahoma" w:cs="Tahoma"/>
              </w:rPr>
              <w:t>W zakresie wynikającym z roli sondy w architekturze całego rozwiązania, urządzenie musi</w:t>
            </w:r>
            <w:r w:rsidR="008123F5" w:rsidRPr="008123F5">
              <w:rPr>
                <w:rFonts w:ascii="Tahoma" w:hAnsi="Tahoma" w:cs="Tahoma"/>
              </w:rPr>
              <w:t xml:space="preserve"> współpracować z dostarczonym w ramach zamówienia systemem bezpieczeństwa OT IDS/IPS, w zakresie przekazywania danych o ruchu sieciowym, zdarzeniach oraz alarmach, umożliwiając ich centralną analizę, korelację i wizualizację.</w:t>
            </w:r>
          </w:p>
        </w:tc>
      </w:tr>
      <w:tr w:rsidR="008123F5" w:rsidRPr="00ED1F95" w14:paraId="0C60EEFF" w14:textId="77777777" w:rsidTr="00036834">
        <w:tc>
          <w:tcPr>
            <w:tcW w:w="0" w:type="auto"/>
            <w:vAlign w:val="center"/>
          </w:tcPr>
          <w:p w14:paraId="75730A26" w14:textId="5891A33E" w:rsidR="008123F5" w:rsidRPr="00ED1F95" w:rsidRDefault="00535241" w:rsidP="00036834">
            <w:pPr>
              <w:rPr>
                <w:rFonts w:ascii="Tahoma" w:hAnsi="Tahoma" w:cs="Tahoma"/>
              </w:rPr>
            </w:pPr>
            <w:r>
              <w:rPr>
                <w:rFonts w:ascii="Tahoma" w:hAnsi="Tahoma" w:cs="Tahoma"/>
              </w:rPr>
              <w:t>2</w:t>
            </w:r>
            <w:r w:rsidR="00F86CB8">
              <w:rPr>
                <w:rFonts w:ascii="Tahoma" w:hAnsi="Tahoma" w:cs="Tahoma"/>
              </w:rPr>
              <w:t>2</w:t>
            </w:r>
          </w:p>
        </w:tc>
        <w:tc>
          <w:tcPr>
            <w:tcW w:w="2884" w:type="dxa"/>
            <w:vAlign w:val="center"/>
          </w:tcPr>
          <w:p w14:paraId="595941B9" w14:textId="4B01DE6C" w:rsidR="008123F5" w:rsidRPr="008123F5" w:rsidRDefault="008123F5" w:rsidP="00036834">
            <w:pPr>
              <w:rPr>
                <w:rFonts w:ascii="Tahoma" w:hAnsi="Tahoma" w:cs="Tahoma"/>
              </w:rPr>
            </w:pPr>
            <w:r w:rsidRPr="008123F5">
              <w:rPr>
                <w:rFonts w:ascii="Tahoma" w:hAnsi="Tahoma" w:cs="Tahoma"/>
              </w:rPr>
              <w:t>Integracja ze switchami przemysłowymi OT</w:t>
            </w:r>
          </w:p>
        </w:tc>
        <w:tc>
          <w:tcPr>
            <w:tcW w:w="6089" w:type="dxa"/>
          </w:tcPr>
          <w:p w14:paraId="503B4207" w14:textId="4032F576" w:rsidR="008123F5" w:rsidRPr="008123F5" w:rsidRDefault="004C5C3E" w:rsidP="0065517E">
            <w:pPr>
              <w:spacing w:line="276" w:lineRule="auto"/>
              <w:jc w:val="both"/>
              <w:rPr>
                <w:rFonts w:ascii="Tahoma" w:hAnsi="Tahoma" w:cs="Tahoma"/>
              </w:rPr>
            </w:pPr>
            <w:r w:rsidRPr="004C5C3E">
              <w:rPr>
                <w:rFonts w:ascii="Tahoma" w:hAnsi="Tahoma" w:cs="Tahoma"/>
              </w:rPr>
              <w:t>W zakresie wynikającym z roli sondy w architekturze całego rozwiązania, urządzenie musi</w:t>
            </w:r>
            <w:r>
              <w:rPr>
                <w:rFonts w:ascii="Tahoma" w:hAnsi="Tahoma" w:cs="Tahoma"/>
              </w:rPr>
              <w:t xml:space="preserve"> </w:t>
            </w:r>
            <w:r w:rsidR="008123F5" w:rsidRPr="008123F5">
              <w:rPr>
                <w:rFonts w:ascii="Tahoma" w:hAnsi="Tahoma" w:cs="Tahoma"/>
              </w:rPr>
              <w:t>być kompatybilne z dostarczonymi przełącznikami OT, w szczególności w zakresie odbioru kopii ruchu (SPAN/mirror), konfiguracji portów oraz pracy w topologii sieci Zamawiającego.</w:t>
            </w:r>
          </w:p>
        </w:tc>
      </w:tr>
      <w:tr w:rsidR="008123F5" w:rsidRPr="00ED1F95" w14:paraId="3CAF1EC6" w14:textId="77777777" w:rsidTr="00036834">
        <w:tc>
          <w:tcPr>
            <w:tcW w:w="0" w:type="auto"/>
            <w:vAlign w:val="center"/>
          </w:tcPr>
          <w:p w14:paraId="6032D7D0" w14:textId="6B780A90" w:rsidR="008123F5" w:rsidRPr="00ED1F95" w:rsidRDefault="00104159" w:rsidP="00036834">
            <w:pPr>
              <w:rPr>
                <w:rFonts w:ascii="Tahoma" w:hAnsi="Tahoma" w:cs="Tahoma"/>
              </w:rPr>
            </w:pPr>
            <w:r>
              <w:rPr>
                <w:rFonts w:ascii="Tahoma" w:hAnsi="Tahoma" w:cs="Tahoma"/>
              </w:rPr>
              <w:t>2</w:t>
            </w:r>
            <w:r w:rsidR="00F86CB8">
              <w:rPr>
                <w:rFonts w:ascii="Tahoma" w:hAnsi="Tahoma" w:cs="Tahoma"/>
              </w:rPr>
              <w:t>3</w:t>
            </w:r>
          </w:p>
        </w:tc>
        <w:tc>
          <w:tcPr>
            <w:tcW w:w="2884" w:type="dxa"/>
            <w:vAlign w:val="center"/>
          </w:tcPr>
          <w:p w14:paraId="198E390E" w14:textId="7DE87822" w:rsidR="008123F5" w:rsidRPr="008123F5" w:rsidRDefault="00595F8D" w:rsidP="00036834">
            <w:pPr>
              <w:rPr>
                <w:rFonts w:ascii="Tahoma" w:hAnsi="Tahoma" w:cs="Tahoma"/>
              </w:rPr>
            </w:pPr>
            <w:r w:rsidRPr="00595F8D">
              <w:rPr>
                <w:rFonts w:ascii="Tahoma" w:hAnsi="Tahoma" w:cs="Tahoma"/>
              </w:rPr>
              <w:t>Współpraca ze stacj</w:t>
            </w:r>
            <w:r w:rsidR="00E05B94">
              <w:rPr>
                <w:rFonts w:ascii="Tahoma" w:hAnsi="Tahoma" w:cs="Tahoma"/>
              </w:rPr>
              <w:t>ami</w:t>
            </w:r>
            <w:r w:rsidRPr="00595F8D">
              <w:rPr>
                <w:rFonts w:ascii="Tahoma" w:hAnsi="Tahoma" w:cs="Tahoma"/>
              </w:rPr>
              <w:t xml:space="preserve"> przesiadkow</w:t>
            </w:r>
            <w:r w:rsidR="00E05B94">
              <w:rPr>
                <w:rFonts w:ascii="Tahoma" w:hAnsi="Tahoma" w:cs="Tahoma"/>
              </w:rPr>
              <w:t>ymi</w:t>
            </w:r>
          </w:p>
        </w:tc>
        <w:tc>
          <w:tcPr>
            <w:tcW w:w="6089" w:type="dxa"/>
          </w:tcPr>
          <w:p w14:paraId="002F968C" w14:textId="40BAE0D6" w:rsidR="008123F5" w:rsidRPr="008123F5" w:rsidRDefault="004C5C3E" w:rsidP="0065517E">
            <w:pPr>
              <w:spacing w:line="276" w:lineRule="auto"/>
              <w:jc w:val="both"/>
              <w:rPr>
                <w:rFonts w:ascii="Tahoma" w:hAnsi="Tahoma" w:cs="Tahoma"/>
              </w:rPr>
            </w:pPr>
            <w:r w:rsidRPr="004C5C3E">
              <w:rPr>
                <w:rFonts w:ascii="Tahoma" w:hAnsi="Tahoma" w:cs="Tahoma"/>
              </w:rPr>
              <w:t>W zakresie wynikającym z roli sondy w architekturze całego rozwiązania, urządzenie musi</w:t>
            </w:r>
            <w:r>
              <w:rPr>
                <w:rFonts w:ascii="Tahoma" w:hAnsi="Tahoma" w:cs="Tahoma"/>
              </w:rPr>
              <w:t xml:space="preserve"> </w:t>
            </w:r>
            <w:r w:rsidR="00595F8D" w:rsidRPr="00595F8D">
              <w:rPr>
                <w:rFonts w:ascii="Tahoma" w:hAnsi="Tahoma" w:cs="Tahoma"/>
              </w:rPr>
              <w:t>umożliwiać bezpieczną komunikację z dostarczon</w:t>
            </w:r>
            <w:r w:rsidR="00E05B94">
              <w:rPr>
                <w:rFonts w:ascii="Tahoma" w:hAnsi="Tahoma" w:cs="Tahoma"/>
              </w:rPr>
              <w:t>ymi</w:t>
            </w:r>
            <w:r w:rsidR="00595F8D" w:rsidRPr="00595F8D">
              <w:rPr>
                <w:rFonts w:ascii="Tahoma" w:hAnsi="Tahoma" w:cs="Tahoma"/>
              </w:rPr>
              <w:t xml:space="preserve"> stacj</w:t>
            </w:r>
            <w:r w:rsidR="00E05B94">
              <w:rPr>
                <w:rFonts w:ascii="Tahoma" w:hAnsi="Tahoma" w:cs="Tahoma"/>
              </w:rPr>
              <w:t>ami</w:t>
            </w:r>
            <w:r w:rsidR="00595F8D" w:rsidRPr="00595F8D">
              <w:rPr>
                <w:rFonts w:ascii="Tahoma" w:hAnsi="Tahoma" w:cs="Tahoma"/>
              </w:rPr>
              <w:t xml:space="preserve"> przesiadkow</w:t>
            </w:r>
            <w:r w:rsidR="00E05B94">
              <w:rPr>
                <w:rFonts w:ascii="Tahoma" w:hAnsi="Tahoma" w:cs="Tahoma"/>
              </w:rPr>
              <w:t>ymi</w:t>
            </w:r>
            <w:r w:rsidR="00595F8D" w:rsidRPr="00595F8D">
              <w:rPr>
                <w:rFonts w:ascii="Tahoma" w:hAnsi="Tahoma" w:cs="Tahoma"/>
              </w:rPr>
              <w:t>, w szczególności w zakresie dostępu administracyjnego, transferu danych oraz zarządzania, zgodnie z przyjętą architekturą bezpieczeństwa OT.</w:t>
            </w:r>
          </w:p>
        </w:tc>
      </w:tr>
      <w:tr w:rsidR="00595F8D" w:rsidRPr="00ED1F95" w14:paraId="1EC69038" w14:textId="77777777" w:rsidTr="00036834">
        <w:tc>
          <w:tcPr>
            <w:tcW w:w="0" w:type="auto"/>
            <w:vAlign w:val="center"/>
          </w:tcPr>
          <w:p w14:paraId="135F8122" w14:textId="0C7E77FB" w:rsidR="00595F8D" w:rsidRPr="00ED1F95" w:rsidRDefault="00104159" w:rsidP="00036834">
            <w:pPr>
              <w:rPr>
                <w:rFonts w:ascii="Tahoma" w:hAnsi="Tahoma" w:cs="Tahoma"/>
              </w:rPr>
            </w:pPr>
            <w:r>
              <w:rPr>
                <w:rFonts w:ascii="Tahoma" w:hAnsi="Tahoma" w:cs="Tahoma"/>
              </w:rPr>
              <w:t>2</w:t>
            </w:r>
            <w:r w:rsidR="00F86CB8">
              <w:rPr>
                <w:rFonts w:ascii="Tahoma" w:hAnsi="Tahoma" w:cs="Tahoma"/>
              </w:rPr>
              <w:t>4</w:t>
            </w:r>
          </w:p>
        </w:tc>
        <w:tc>
          <w:tcPr>
            <w:tcW w:w="2884" w:type="dxa"/>
            <w:vAlign w:val="center"/>
          </w:tcPr>
          <w:p w14:paraId="51E9A41B" w14:textId="6CF9DE37" w:rsidR="00595F8D" w:rsidRPr="00595F8D" w:rsidRDefault="00595F8D" w:rsidP="00036834">
            <w:pPr>
              <w:rPr>
                <w:rFonts w:ascii="Tahoma" w:hAnsi="Tahoma" w:cs="Tahoma"/>
              </w:rPr>
            </w:pPr>
            <w:r w:rsidRPr="00595F8D">
              <w:rPr>
                <w:rFonts w:ascii="Tahoma" w:hAnsi="Tahoma" w:cs="Tahoma"/>
              </w:rPr>
              <w:t>Integracja z infrastrukturą serwerową (serwer HA)</w:t>
            </w:r>
          </w:p>
        </w:tc>
        <w:tc>
          <w:tcPr>
            <w:tcW w:w="6089" w:type="dxa"/>
          </w:tcPr>
          <w:p w14:paraId="0B4986D7" w14:textId="36F7665F" w:rsidR="00595F8D" w:rsidRPr="00595F8D" w:rsidRDefault="000A3EEA" w:rsidP="0065517E">
            <w:pPr>
              <w:spacing w:line="276" w:lineRule="auto"/>
              <w:jc w:val="both"/>
              <w:rPr>
                <w:rFonts w:ascii="Tahoma" w:hAnsi="Tahoma" w:cs="Tahoma"/>
              </w:rPr>
            </w:pPr>
            <w:r w:rsidRPr="000A3EEA">
              <w:rPr>
                <w:rFonts w:ascii="Tahoma" w:hAnsi="Tahoma" w:cs="Tahoma"/>
              </w:rPr>
              <w:t>Sondy muszą współpracować z dostarczonym środowiskiem serwera HA pośrednio lub bezpośrednio, jeżeli wynika to z architektury rozwiązania, w szczególności w zakresie przekazywania danych do centralnego systemu analitycznego lub zarządzającego.</w:t>
            </w:r>
          </w:p>
        </w:tc>
      </w:tr>
      <w:tr w:rsidR="00595F8D" w:rsidRPr="00ED1F95" w14:paraId="1FD91C91" w14:textId="77777777" w:rsidTr="00036834">
        <w:tc>
          <w:tcPr>
            <w:tcW w:w="0" w:type="auto"/>
            <w:vAlign w:val="center"/>
          </w:tcPr>
          <w:p w14:paraId="48E67286" w14:textId="6B091D57" w:rsidR="00595F8D" w:rsidRPr="00ED1F95" w:rsidRDefault="00104159" w:rsidP="00036834">
            <w:pPr>
              <w:rPr>
                <w:rFonts w:ascii="Tahoma" w:hAnsi="Tahoma" w:cs="Tahoma"/>
              </w:rPr>
            </w:pPr>
            <w:r>
              <w:rPr>
                <w:rFonts w:ascii="Tahoma" w:hAnsi="Tahoma" w:cs="Tahoma"/>
              </w:rPr>
              <w:t>2</w:t>
            </w:r>
            <w:r w:rsidR="00F86CB8">
              <w:rPr>
                <w:rFonts w:ascii="Tahoma" w:hAnsi="Tahoma" w:cs="Tahoma"/>
              </w:rPr>
              <w:t>5</w:t>
            </w:r>
          </w:p>
        </w:tc>
        <w:tc>
          <w:tcPr>
            <w:tcW w:w="2884" w:type="dxa"/>
            <w:vAlign w:val="center"/>
          </w:tcPr>
          <w:p w14:paraId="4BC45599" w14:textId="30F7EE45" w:rsidR="00595F8D" w:rsidRPr="00595F8D" w:rsidRDefault="00595F8D" w:rsidP="00036834">
            <w:pPr>
              <w:rPr>
                <w:rFonts w:ascii="Tahoma" w:hAnsi="Tahoma" w:cs="Tahoma"/>
              </w:rPr>
            </w:pPr>
            <w:r w:rsidRPr="00595F8D">
              <w:rPr>
                <w:rFonts w:ascii="Tahoma" w:hAnsi="Tahoma" w:cs="Tahoma"/>
              </w:rPr>
              <w:t>Integracja z systemem przechowywania danych (NAS)</w:t>
            </w:r>
          </w:p>
        </w:tc>
        <w:tc>
          <w:tcPr>
            <w:tcW w:w="6089" w:type="dxa"/>
          </w:tcPr>
          <w:p w14:paraId="46149D08" w14:textId="1E7081FB" w:rsidR="00595F8D" w:rsidRPr="00595F8D" w:rsidRDefault="000A3EEA" w:rsidP="0065517E">
            <w:pPr>
              <w:spacing w:line="276" w:lineRule="auto"/>
              <w:jc w:val="both"/>
              <w:rPr>
                <w:rFonts w:ascii="Tahoma" w:hAnsi="Tahoma" w:cs="Tahoma"/>
              </w:rPr>
            </w:pPr>
            <w:r w:rsidRPr="000A3EEA">
              <w:rPr>
                <w:rFonts w:ascii="Tahoma" w:hAnsi="Tahoma" w:cs="Tahoma"/>
              </w:rPr>
              <w:t>Sondy muszą umożliwiać przekazywanie danych, logów, metadanych lub zrzutów ruchu do systemu centralnego albo do systemu NAS, jeżeli taka funkcjonalność wynika z architektury wdrożenia i konfiguracji oferowanego rozwiązania.</w:t>
            </w:r>
          </w:p>
        </w:tc>
      </w:tr>
      <w:tr w:rsidR="00595F8D" w:rsidRPr="00ED1F95" w14:paraId="3BE05A6B" w14:textId="77777777" w:rsidTr="00036834">
        <w:tc>
          <w:tcPr>
            <w:tcW w:w="0" w:type="auto"/>
            <w:vAlign w:val="center"/>
          </w:tcPr>
          <w:p w14:paraId="03C0C3B4" w14:textId="351E0843" w:rsidR="00595F8D" w:rsidRPr="00ED1F95" w:rsidRDefault="00104159" w:rsidP="00036834">
            <w:pPr>
              <w:rPr>
                <w:rFonts w:ascii="Tahoma" w:hAnsi="Tahoma" w:cs="Tahoma"/>
              </w:rPr>
            </w:pPr>
            <w:r>
              <w:rPr>
                <w:rFonts w:ascii="Tahoma" w:hAnsi="Tahoma" w:cs="Tahoma"/>
              </w:rPr>
              <w:t>2</w:t>
            </w:r>
            <w:r w:rsidR="00F86CB8">
              <w:rPr>
                <w:rFonts w:ascii="Tahoma" w:hAnsi="Tahoma" w:cs="Tahoma"/>
              </w:rPr>
              <w:t>6</w:t>
            </w:r>
          </w:p>
        </w:tc>
        <w:tc>
          <w:tcPr>
            <w:tcW w:w="2884" w:type="dxa"/>
            <w:vAlign w:val="center"/>
          </w:tcPr>
          <w:p w14:paraId="15208930" w14:textId="5C505937" w:rsidR="00595F8D" w:rsidRPr="00595F8D" w:rsidRDefault="00595F8D" w:rsidP="00036834">
            <w:pPr>
              <w:rPr>
                <w:rFonts w:ascii="Tahoma" w:hAnsi="Tahoma" w:cs="Tahoma"/>
              </w:rPr>
            </w:pPr>
            <w:r w:rsidRPr="00595F8D">
              <w:rPr>
                <w:rFonts w:ascii="Tahoma" w:hAnsi="Tahoma" w:cs="Tahoma"/>
              </w:rPr>
              <w:t>Montaż w infrastrukturze RACK</w:t>
            </w:r>
          </w:p>
        </w:tc>
        <w:tc>
          <w:tcPr>
            <w:tcW w:w="6089" w:type="dxa"/>
          </w:tcPr>
          <w:p w14:paraId="1C3BC424" w14:textId="117B8D44" w:rsidR="00595F8D" w:rsidRPr="00595F8D" w:rsidRDefault="000A3EEA" w:rsidP="0065517E">
            <w:pPr>
              <w:spacing w:line="276" w:lineRule="auto"/>
              <w:jc w:val="both"/>
              <w:rPr>
                <w:rFonts w:ascii="Tahoma" w:hAnsi="Tahoma" w:cs="Tahoma"/>
              </w:rPr>
            </w:pPr>
            <w:r w:rsidRPr="000A3EEA">
              <w:rPr>
                <w:rFonts w:ascii="Tahoma" w:hAnsi="Tahoma" w:cs="Tahoma"/>
              </w:rPr>
              <w:t>W zakresie wynikającym z roli sondy w architekturze całego rozwiązania, urządzenie musi</w:t>
            </w:r>
            <w:r>
              <w:rPr>
                <w:rFonts w:ascii="Tahoma" w:hAnsi="Tahoma" w:cs="Tahoma"/>
              </w:rPr>
              <w:t xml:space="preserve"> </w:t>
            </w:r>
            <w:r w:rsidR="00595F8D" w:rsidRPr="00595F8D">
              <w:rPr>
                <w:rFonts w:ascii="Tahoma" w:hAnsi="Tahoma" w:cs="Tahoma"/>
              </w:rPr>
              <w:t>być przystosowane do montażu w szafach RACK lub szafach sterowniczych, z uwzględnieniem dostępnej przestrzeni, zasilania oraz warunków środowiskowych.</w:t>
            </w:r>
          </w:p>
        </w:tc>
      </w:tr>
      <w:tr w:rsidR="00595F8D" w:rsidRPr="00ED1F95" w14:paraId="33FCB79B" w14:textId="77777777" w:rsidTr="00036834">
        <w:tc>
          <w:tcPr>
            <w:tcW w:w="0" w:type="auto"/>
            <w:vAlign w:val="center"/>
          </w:tcPr>
          <w:p w14:paraId="17BB973A" w14:textId="2FB8FDE5" w:rsidR="00595F8D" w:rsidRPr="00ED1F95" w:rsidRDefault="00104159" w:rsidP="00036834">
            <w:pPr>
              <w:rPr>
                <w:rFonts w:ascii="Tahoma" w:hAnsi="Tahoma" w:cs="Tahoma"/>
              </w:rPr>
            </w:pPr>
            <w:r>
              <w:rPr>
                <w:rFonts w:ascii="Tahoma" w:hAnsi="Tahoma" w:cs="Tahoma"/>
              </w:rPr>
              <w:t>2</w:t>
            </w:r>
            <w:r w:rsidR="00F86CB8">
              <w:rPr>
                <w:rFonts w:ascii="Tahoma" w:hAnsi="Tahoma" w:cs="Tahoma"/>
              </w:rPr>
              <w:t>7</w:t>
            </w:r>
          </w:p>
        </w:tc>
        <w:tc>
          <w:tcPr>
            <w:tcW w:w="2884" w:type="dxa"/>
            <w:vAlign w:val="center"/>
          </w:tcPr>
          <w:p w14:paraId="12A5585A" w14:textId="2EE58AFC" w:rsidR="00595F8D" w:rsidRPr="00595F8D" w:rsidRDefault="00595F8D" w:rsidP="00036834">
            <w:pPr>
              <w:rPr>
                <w:rFonts w:ascii="Tahoma" w:hAnsi="Tahoma" w:cs="Tahoma"/>
              </w:rPr>
            </w:pPr>
            <w:r w:rsidRPr="00595F8D">
              <w:rPr>
                <w:rFonts w:ascii="Tahoma" w:hAnsi="Tahoma" w:cs="Tahoma"/>
              </w:rPr>
              <w:t>Spójność architektury rozwiązania</w:t>
            </w:r>
          </w:p>
        </w:tc>
        <w:tc>
          <w:tcPr>
            <w:tcW w:w="6089" w:type="dxa"/>
          </w:tcPr>
          <w:p w14:paraId="6C3B24B9" w14:textId="55EF8427" w:rsidR="00595F8D" w:rsidRPr="00595F8D" w:rsidRDefault="000A3EEA" w:rsidP="0065517E">
            <w:pPr>
              <w:spacing w:line="276" w:lineRule="auto"/>
              <w:jc w:val="both"/>
              <w:rPr>
                <w:rFonts w:ascii="Tahoma" w:hAnsi="Tahoma" w:cs="Tahoma"/>
              </w:rPr>
            </w:pPr>
            <w:r w:rsidRPr="000A3EEA">
              <w:rPr>
                <w:rFonts w:ascii="Tahoma" w:hAnsi="Tahoma" w:cs="Tahoma"/>
              </w:rPr>
              <w:t>W zakresie wynikającym z roli sondy w architekturze całego rozwiązania, urządzenie musi</w:t>
            </w:r>
            <w:r>
              <w:rPr>
                <w:rFonts w:ascii="Tahoma" w:hAnsi="Tahoma" w:cs="Tahoma"/>
              </w:rPr>
              <w:t xml:space="preserve"> </w:t>
            </w:r>
            <w:r w:rsidR="00595F8D" w:rsidRPr="00595F8D">
              <w:rPr>
                <w:rFonts w:ascii="Tahoma" w:hAnsi="Tahoma" w:cs="Tahoma"/>
              </w:rPr>
              <w:t>stanowić integralny element całego systemu bezpieczeństwa OT objętego zamówieniem, zapewniając interoperacyjność, kompatybilność oraz jednolity sposób zarządzania i monitorowania infrastruktury.</w:t>
            </w:r>
          </w:p>
        </w:tc>
      </w:tr>
      <w:tr w:rsidR="00ED1F95" w:rsidRPr="00ED1F95" w14:paraId="22BC4B0B" w14:textId="77777777" w:rsidTr="00036834">
        <w:tc>
          <w:tcPr>
            <w:tcW w:w="0" w:type="auto"/>
            <w:vAlign w:val="center"/>
            <w:hideMark/>
          </w:tcPr>
          <w:p w14:paraId="04A4B63F" w14:textId="47024674" w:rsidR="00ED1F95" w:rsidRPr="00ED1F95" w:rsidRDefault="00ED1F95" w:rsidP="00036834">
            <w:pPr>
              <w:rPr>
                <w:rFonts w:ascii="Tahoma" w:hAnsi="Tahoma" w:cs="Tahoma"/>
              </w:rPr>
            </w:pPr>
            <w:r w:rsidRPr="00ED1F95">
              <w:rPr>
                <w:rFonts w:ascii="Tahoma" w:hAnsi="Tahoma" w:cs="Tahoma"/>
              </w:rPr>
              <w:t>2</w:t>
            </w:r>
            <w:r w:rsidR="00F86CB8">
              <w:rPr>
                <w:rFonts w:ascii="Tahoma" w:hAnsi="Tahoma" w:cs="Tahoma"/>
              </w:rPr>
              <w:t>8</w:t>
            </w:r>
          </w:p>
        </w:tc>
        <w:tc>
          <w:tcPr>
            <w:tcW w:w="2884" w:type="dxa"/>
            <w:vAlign w:val="center"/>
            <w:hideMark/>
          </w:tcPr>
          <w:p w14:paraId="3DF04D3A" w14:textId="77777777" w:rsidR="00ED1F95" w:rsidRPr="00ED1F95" w:rsidRDefault="00ED1F95" w:rsidP="00036834">
            <w:pPr>
              <w:rPr>
                <w:rFonts w:ascii="Tahoma" w:hAnsi="Tahoma" w:cs="Tahoma"/>
              </w:rPr>
            </w:pPr>
            <w:r w:rsidRPr="00ED1F95">
              <w:rPr>
                <w:rFonts w:ascii="Tahoma" w:hAnsi="Tahoma" w:cs="Tahoma"/>
              </w:rPr>
              <w:t>Dokumentacja techniczna</w:t>
            </w:r>
          </w:p>
        </w:tc>
        <w:tc>
          <w:tcPr>
            <w:tcW w:w="6089" w:type="dxa"/>
            <w:hideMark/>
          </w:tcPr>
          <w:p w14:paraId="46CF88B4" w14:textId="0F2F6094" w:rsidR="00ED1F95" w:rsidRPr="00ED1F95" w:rsidRDefault="000A3EEA" w:rsidP="0065517E">
            <w:pPr>
              <w:spacing w:line="276" w:lineRule="auto"/>
              <w:jc w:val="both"/>
              <w:rPr>
                <w:rFonts w:ascii="Tahoma" w:hAnsi="Tahoma" w:cs="Tahoma"/>
              </w:rPr>
            </w:pPr>
            <w:r w:rsidRPr="000A3EEA">
              <w:rPr>
                <w:rFonts w:ascii="Tahoma" w:hAnsi="Tahoma" w:cs="Tahoma"/>
              </w:rPr>
              <w:t>Wraz z urządzeniem musi zostać dostarczona kompletna dokumentacja techniczna w języku polskim lub angielskim, obejmująca co najmniej instrukcję instalacji, konfiguracji, administracji, aktualizacji, eksploatacji oraz opis wymaganych warunków zasilania i środowiska pracy, umożliwiająca samodzielne utrzymanie i obsługę urządzenia przez Zamawiającego.</w:t>
            </w:r>
          </w:p>
        </w:tc>
      </w:tr>
      <w:tr w:rsidR="001333D2" w:rsidRPr="00ED1F95" w14:paraId="20042DC6" w14:textId="77777777" w:rsidTr="00036834">
        <w:tc>
          <w:tcPr>
            <w:tcW w:w="0" w:type="auto"/>
            <w:vAlign w:val="center"/>
          </w:tcPr>
          <w:p w14:paraId="60746016" w14:textId="7201E0D6" w:rsidR="001333D2" w:rsidRPr="00ED1F95" w:rsidRDefault="001333D2" w:rsidP="00036834">
            <w:pPr>
              <w:rPr>
                <w:rFonts w:ascii="Tahoma" w:hAnsi="Tahoma" w:cs="Tahoma"/>
              </w:rPr>
            </w:pPr>
            <w:r>
              <w:rPr>
                <w:rFonts w:ascii="Tahoma" w:hAnsi="Tahoma" w:cs="Tahoma"/>
              </w:rPr>
              <w:t>29</w:t>
            </w:r>
          </w:p>
        </w:tc>
        <w:tc>
          <w:tcPr>
            <w:tcW w:w="2884" w:type="dxa"/>
            <w:vAlign w:val="center"/>
          </w:tcPr>
          <w:p w14:paraId="6B971530" w14:textId="1974F0AA" w:rsidR="001333D2" w:rsidRPr="00ED1F95" w:rsidRDefault="001333D2" w:rsidP="00036834">
            <w:pPr>
              <w:rPr>
                <w:rFonts w:ascii="Tahoma" w:hAnsi="Tahoma" w:cs="Tahoma"/>
              </w:rPr>
            </w:pPr>
            <w:r w:rsidRPr="001333D2">
              <w:rPr>
                <w:rFonts w:ascii="Tahoma" w:hAnsi="Tahoma" w:cs="Tahoma"/>
              </w:rPr>
              <w:t>Sposób potwierdzenia spełnienia wymagań</w:t>
            </w:r>
          </w:p>
        </w:tc>
        <w:tc>
          <w:tcPr>
            <w:tcW w:w="6089" w:type="dxa"/>
          </w:tcPr>
          <w:p w14:paraId="1E14D38B" w14:textId="450A640F" w:rsidR="001333D2" w:rsidRPr="000A3EEA" w:rsidRDefault="001333D2" w:rsidP="0065517E">
            <w:pPr>
              <w:spacing w:line="276" w:lineRule="auto"/>
              <w:jc w:val="both"/>
              <w:rPr>
                <w:rFonts w:ascii="Tahoma" w:hAnsi="Tahoma" w:cs="Tahoma"/>
              </w:rPr>
            </w:pPr>
            <w:r w:rsidRPr="001333D2">
              <w:rPr>
                <w:rFonts w:ascii="Tahoma" w:hAnsi="Tahoma" w:cs="Tahoma"/>
              </w:rPr>
              <w:t>W celu potwierdzenia spełnienia wymagań OPZ Wykonawca zobowiązany jest przedłożyć na wezwanie Zamawiającego dokumentację producenta, karty katalogowe, opisy techniczne, instrukcje, oświadczenia producenta lub inne dokumenty równoważne, potwierdzające spełnianie wymaganych funkcjonalności.</w:t>
            </w:r>
            <w:r w:rsidRPr="001333D2">
              <w:rPr>
                <w:rFonts w:ascii="Tahoma" w:hAnsi="Tahoma" w:cs="Tahoma"/>
              </w:rPr>
              <w:br/>
              <w:t>W przypadku funkcjonalności realizowanych wspólnie przez sondę i centralny system bezpieczeństwa OT dopuszcza się wykazanie spełnienia wymagania łącznie dla całego oferowanego rozwiązania, pod warunkiem jednoznacznego wskazania, który komponent realizuje daną funkcję.</w:t>
            </w:r>
          </w:p>
        </w:tc>
      </w:tr>
      <w:tr w:rsidR="001333D2" w:rsidRPr="00ED1F95" w14:paraId="259CA7AC" w14:textId="77777777" w:rsidTr="00036834">
        <w:tc>
          <w:tcPr>
            <w:tcW w:w="0" w:type="auto"/>
            <w:vAlign w:val="center"/>
          </w:tcPr>
          <w:p w14:paraId="6A4DE8AF" w14:textId="2E2082FE" w:rsidR="001333D2" w:rsidRPr="00ED1F95" w:rsidRDefault="001333D2" w:rsidP="00036834">
            <w:pPr>
              <w:rPr>
                <w:rFonts w:ascii="Tahoma" w:hAnsi="Tahoma" w:cs="Tahoma"/>
              </w:rPr>
            </w:pPr>
            <w:r>
              <w:rPr>
                <w:rFonts w:ascii="Tahoma" w:hAnsi="Tahoma" w:cs="Tahoma"/>
              </w:rPr>
              <w:t>30</w:t>
            </w:r>
          </w:p>
        </w:tc>
        <w:tc>
          <w:tcPr>
            <w:tcW w:w="2884" w:type="dxa"/>
            <w:vAlign w:val="center"/>
          </w:tcPr>
          <w:p w14:paraId="49E46A19" w14:textId="2A0F7217" w:rsidR="001333D2" w:rsidRPr="001333D2" w:rsidRDefault="001333D2" w:rsidP="00036834">
            <w:pPr>
              <w:rPr>
                <w:rFonts w:ascii="Tahoma" w:hAnsi="Tahoma" w:cs="Tahoma"/>
              </w:rPr>
            </w:pPr>
            <w:r w:rsidRPr="001333D2">
              <w:rPr>
                <w:rFonts w:ascii="Tahoma" w:hAnsi="Tahoma" w:cs="Tahoma"/>
              </w:rPr>
              <w:t>Odbiór sond i testy funkcjonalne</w:t>
            </w:r>
          </w:p>
        </w:tc>
        <w:tc>
          <w:tcPr>
            <w:tcW w:w="6089" w:type="dxa"/>
          </w:tcPr>
          <w:p w14:paraId="5AC729D5" w14:textId="606A7CA9" w:rsidR="001333D2" w:rsidRPr="001333D2" w:rsidRDefault="001333D2" w:rsidP="0065517E">
            <w:pPr>
              <w:spacing w:line="276" w:lineRule="auto"/>
              <w:jc w:val="both"/>
              <w:rPr>
                <w:rFonts w:ascii="Tahoma" w:hAnsi="Tahoma" w:cs="Tahoma"/>
              </w:rPr>
            </w:pPr>
            <w:r w:rsidRPr="001333D2">
              <w:rPr>
                <w:rFonts w:ascii="Tahoma" w:hAnsi="Tahoma" w:cs="Tahoma"/>
              </w:rPr>
              <w:t>Odbiór sond nastąpi po ich instalacji, integracji z pozostałymi elementami zamówienia oraz potwierdzeniu działania wymaganych funkcjonalności w ramach testów odbiorowych.</w:t>
            </w:r>
            <w:r w:rsidRPr="001333D2">
              <w:rPr>
                <w:rFonts w:ascii="Tahoma" w:hAnsi="Tahoma" w:cs="Tahoma"/>
              </w:rPr>
              <w:br/>
              <w:t>Testy odbiorowe muszą obejmować co najmniej:</w:t>
            </w:r>
            <w:r w:rsidRPr="001333D2">
              <w:rPr>
                <w:rFonts w:ascii="Tahoma" w:hAnsi="Tahoma" w:cs="Tahoma"/>
              </w:rPr>
              <w:br/>
              <w:t xml:space="preserve">a) </w:t>
            </w:r>
            <w:r w:rsidR="00E830FC" w:rsidRPr="00E830FC">
              <w:rPr>
                <w:rFonts w:ascii="Tahoma" w:hAnsi="Tahoma" w:cs="Tahoma"/>
              </w:rPr>
              <w:t>poprawność odbioru kopii ruchu lub poprawność pracy w torze transmisji, w zależności od architektury oferowanego rozwiązania</w:t>
            </w:r>
            <w:r w:rsidRPr="001333D2">
              <w:rPr>
                <w:rFonts w:ascii="Tahoma" w:hAnsi="Tahoma" w:cs="Tahoma"/>
              </w:rPr>
              <w:t>,</w:t>
            </w:r>
            <w:r w:rsidRPr="001333D2">
              <w:rPr>
                <w:rFonts w:ascii="Tahoma" w:hAnsi="Tahoma" w:cs="Tahoma"/>
              </w:rPr>
              <w:br/>
              <w:t>b) komunikację sond z centralnym systemem bezpieczeństwa OT,</w:t>
            </w:r>
            <w:r w:rsidRPr="001333D2">
              <w:rPr>
                <w:rFonts w:ascii="Tahoma" w:hAnsi="Tahoma" w:cs="Tahoma"/>
              </w:rPr>
              <w:br/>
              <w:t>c) identyfikację urządzeń i protokołów w monitorowanym segmencie,</w:t>
            </w:r>
            <w:r w:rsidRPr="001333D2">
              <w:rPr>
                <w:rFonts w:ascii="Tahoma" w:hAnsi="Tahoma" w:cs="Tahoma"/>
              </w:rPr>
              <w:br/>
              <w:t>d) przekazywanie zdarzeń, alarmów i metadanych do systemu centralnego,</w:t>
            </w:r>
            <w:r w:rsidRPr="001333D2">
              <w:rPr>
                <w:rFonts w:ascii="Tahoma" w:hAnsi="Tahoma" w:cs="Tahoma"/>
              </w:rPr>
              <w:br/>
              <w:t>e) weryfikację działania mechanizmów alarmowania i rejestracji zdarzeń,</w:t>
            </w:r>
            <w:r w:rsidRPr="001333D2">
              <w:rPr>
                <w:rFonts w:ascii="Tahoma" w:hAnsi="Tahoma" w:cs="Tahoma"/>
              </w:rPr>
              <w:br/>
              <w:t>f) potwierdzenie, że sposób wpięcia i pracy sond nie powoduje niedopuszczalnego wpływu na środowisko OT.</w:t>
            </w:r>
            <w:r w:rsidRPr="001333D2">
              <w:rPr>
                <w:rFonts w:ascii="Tahoma" w:hAnsi="Tahoma" w:cs="Tahoma"/>
              </w:rPr>
              <w:br/>
              <w:t>Szczegółowy scenariusz testów odbiorowych zostanie uzgodniony z Zamawiającym przed odbiorem.</w:t>
            </w:r>
          </w:p>
        </w:tc>
      </w:tr>
      <w:tr w:rsidR="00170D27" w:rsidRPr="00ED1F95" w14:paraId="49F76EBB" w14:textId="77777777" w:rsidTr="00036834">
        <w:tc>
          <w:tcPr>
            <w:tcW w:w="0" w:type="auto"/>
            <w:vAlign w:val="center"/>
          </w:tcPr>
          <w:p w14:paraId="0C6BF7BD" w14:textId="1F0155DB" w:rsidR="00170D27" w:rsidRDefault="00170D27" w:rsidP="00036834">
            <w:pPr>
              <w:rPr>
                <w:rFonts w:ascii="Tahoma" w:hAnsi="Tahoma" w:cs="Tahoma"/>
              </w:rPr>
            </w:pPr>
            <w:r>
              <w:rPr>
                <w:rFonts w:ascii="Tahoma" w:hAnsi="Tahoma" w:cs="Tahoma"/>
              </w:rPr>
              <w:t>31</w:t>
            </w:r>
          </w:p>
        </w:tc>
        <w:tc>
          <w:tcPr>
            <w:tcW w:w="2884" w:type="dxa"/>
            <w:vAlign w:val="center"/>
          </w:tcPr>
          <w:p w14:paraId="250BC7BB" w14:textId="4EF0436F" w:rsidR="00170D27" w:rsidRPr="001333D2" w:rsidRDefault="00170D27" w:rsidP="00036834">
            <w:pPr>
              <w:rPr>
                <w:rFonts w:ascii="Tahoma" w:hAnsi="Tahoma" w:cs="Tahoma"/>
              </w:rPr>
            </w:pPr>
            <w:r w:rsidRPr="00170D27">
              <w:rPr>
                <w:rFonts w:ascii="Tahoma" w:hAnsi="Tahoma" w:cs="Tahoma"/>
              </w:rPr>
              <w:t>Lokalizacje instalacji sond</w:t>
            </w:r>
          </w:p>
        </w:tc>
        <w:tc>
          <w:tcPr>
            <w:tcW w:w="6089" w:type="dxa"/>
          </w:tcPr>
          <w:p w14:paraId="162B6860" w14:textId="2B522771" w:rsidR="00170D27" w:rsidRPr="00170D27" w:rsidRDefault="00170D27" w:rsidP="00170D27">
            <w:pPr>
              <w:spacing w:line="276" w:lineRule="auto"/>
              <w:jc w:val="both"/>
              <w:rPr>
                <w:rFonts w:ascii="Tahoma" w:hAnsi="Tahoma" w:cs="Tahoma"/>
              </w:rPr>
            </w:pPr>
            <w:r w:rsidRPr="00170D27">
              <w:rPr>
                <w:rFonts w:ascii="Tahoma" w:hAnsi="Tahoma" w:cs="Tahoma"/>
              </w:rPr>
              <w:t xml:space="preserve">Sondy sprzętowe </w:t>
            </w:r>
            <w:r>
              <w:rPr>
                <w:rFonts w:ascii="Tahoma" w:hAnsi="Tahoma" w:cs="Tahoma"/>
              </w:rPr>
              <w:t>muszą zostać</w:t>
            </w:r>
            <w:r w:rsidRPr="00170D27">
              <w:rPr>
                <w:rFonts w:ascii="Tahoma" w:hAnsi="Tahoma" w:cs="Tahoma"/>
              </w:rPr>
              <w:t xml:space="preserve"> dostarczone, zamontowane, skonfigurowane i uruchomione w lokalizacjach Zamawiającego związanych z funkcjonowaniem infrastruktury OT/ICS, w szczególności w lokalizacjach wskazanych w załączniku pn. </w:t>
            </w:r>
            <w:r w:rsidRPr="00170D27">
              <w:rPr>
                <w:rFonts w:ascii="Tahoma" w:hAnsi="Tahoma" w:cs="Tahoma"/>
                <w:b/>
                <w:bCs/>
              </w:rPr>
              <w:t>„Zestawienie sterowników”</w:t>
            </w:r>
            <w:r w:rsidRPr="00170D27">
              <w:rPr>
                <w:rFonts w:ascii="Tahoma" w:hAnsi="Tahoma" w:cs="Tahoma"/>
              </w:rPr>
              <w:t>, obejmujących urządzenia automatyki przemysłowej, sterowniki PLC, moduły telemetryczne, elementy infrastruktury sieciowej OT lub inne komponenty wymagające monitorowania ruchu sieciowego.</w:t>
            </w:r>
          </w:p>
          <w:p w14:paraId="1A4FDD14" w14:textId="77777777" w:rsidR="00170D27" w:rsidRPr="00170D27" w:rsidRDefault="00170D27" w:rsidP="00170D27">
            <w:pPr>
              <w:spacing w:line="276" w:lineRule="auto"/>
              <w:jc w:val="both"/>
              <w:rPr>
                <w:rFonts w:ascii="Tahoma" w:hAnsi="Tahoma" w:cs="Tahoma"/>
              </w:rPr>
            </w:pPr>
            <w:r w:rsidRPr="00170D27">
              <w:rPr>
                <w:rFonts w:ascii="Tahoma" w:hAnsi="Tahoma" w:cs="Tahoma"/>
              </w:rPr>
              <w:t>Lokalizacje wskazane w dokumentacji postępowania należy traktować jako lokalizacje wyjściowe, przyjęte na potrzeby przygotowania oferty oraz zaplanowania wdrożenia. Ostateczne miejsca instalacji sond, sposób ich wpięcia do sieci OT oraz zakres monitorowanych segmentów zostaną ustalone przez Wykonawcę na etapie analizy przedwdrożeniowej, z uwzględnieniem istniejącej architektury sieci, dostępnych punktów SPAN/mirror/TAP, możliwości pracy inline/pass-through, warunków technicznych, zasilania, dostępnej przestrzeni montażowej oraz konieczności zachowania ciągłości działania infrastruktury przemysłowej.</w:t>
            </w:r>
          </w:p>
          <w:p w14:paraId="04E11692" w14:textId="77777777" w:rsidR="00170D27" w:rsidRPr="00170D27" w:rsidRDefault="00170D27" w:rsidP="00170D27">
            <w:pPr>
              <w:spacing w:line="276" w:lineRule="auto"/>
              <w:jc w:val="both"/>
              <w:rPr>
                <w:rFonts w:ascii="Tahoma" w:hAnsi="Tahoma" w:cs="Tahoma"/>
              </w:rPr>
            </w:pPr>
            <w:r w:rsidRPr="00170D27">
              <w:rPr>
                <w:rFonts w:ascii="Tahoma" w:hAnsi="Tahoma" w:cs="Tahoma"/>
              </w:rPr>
              <w:t>Zamawiający dopuszcza zmianę lokalizacji instalacji poszczególnych sond względem lokalizacji wskazanych w dokumentacji postępowania, jeżeli z analizy przedwdrożeniowej wynikać będzie, że montaż sondy w innej lokalizacji lub innym punkcie sieciowym pozwoli na uzyskanie lepszej widoczności ruchu OT/ICS, skuteczniejszą analizę komunikacji, ograniczenie ryzyka zakłócenia pracy infrastruktury przemysłowej albo bardziej racjonalne wykorzystanie dostarczonych urządzeń.</w:t>
            </w:r>
          </w:p>
          <w:p w14:paraId="4A2B8B65" w14:textId="77777777" w:rsidR="00170D27" w:rsidRPr="00170D27" w:rsidRDefault="00170D27" w:rsidP="00170D27">
            <w:pPr>
              <w:spacing w:line="276" w:lineRule="auto"/>
              <w:jc w:val="both"/>
              <w:rPr>
                <w:rFonts w:ascii="Tahoma" w:hAnsi="Tahoma" w:cs="Tahoma"/>
              </w:rPr>
            </w:pPr>
            <w:r w:rsidRPr="00170D27">
              <w:rPr>
                <w:rFonts w:ascii="Tahoma" w:hAnsi="Tahoma" w:cs="Tahoma"/>
              </w:rPr>
              <w:t>Zmiana lokalizacji instalacji sond wymaga uzgodnienia z Zamawiającym przed rozpoczęciem prac montażowych i nie może prowadzić do zmniejszenia liczby dostarczanych sond, obniżenia wymagań funkcjonalnych określonych w OPZ ani ograniczenia zakresu monitorowania, który jest możliwy do osiągnięcia przy uwzględnieniu istniejącej architektury sieci oraz dostępnej widoczności ruchu.</w:t>
            </w:r>
          </w:p>
          <w:p w14:paraId="038F8FEA" w14:textId="77777777" w:rsidR="00170D27" w:rsidRPr="00170D27" w:rsidRDefault="00170D27" w:rsidP="00170D27">
            <w:pPr>
              <w:spacing w:line="276" w:lineRule="auto"/>
              <w:jc w:val="both"/>
              <w:rPr>
                <w:rFonts w:ascii="Tahoma" w:hAnsi="Tahoma" w:cs="Tahoma"/>
              </w:rPr>
            </w:pPr>
            <w:r w:rsidRPr="00170D27">
              <w:rPr>
                <w:rFonts w:ascii="Tahoma" w:hAnsi="Tahoma" w:cs="Tahoma"/>
              </w:rPr>
              <w:t>W przypadku stwierdzenia na etapie analizy przedwdrożeniowej ograniczeń technicznych, organizacyjnych lub środowiskowych uniemożliwiających instalację sondy w lokalizacji pierwotnie zakładanej, Wykonawca zobowiązany jest wskazać Zamawiającemu proponowaną lokalizację alternatywną wraz z uzasadnieniem technicznym oraz opisem wpływu tej zmiany na zakres monitorowania i bezpieczeństwo środowiska OT.</w:t>
            </w:r>
          </w:p>
          <w:p w14:paraId="4FFA2201" w14:textId="17785626" w:rsidR="00170D27" w:rsidRPr="001333D2" w:rsidRDefault="00170D27" w:rsidP="0065517E">
            <w:pPr>
              <w:spacing w:line="276" w:lineRule="auto"/>
              <w:jc w:val="both"/>
              <w:rPr>
                <w:rFonts w:ascii="Tahoma" w:hAnsi="Tahoma" w:cs="Tahoma"/>
              </w:rPr>
            </w:pPr>
            <w:r w:rsidRPr="00170D27">
              <w:rPr>
                <w:rFonts w:ascii="Tahoma" w:hAnsi="Tahoma" w:cs="Tahoma"/>
              </w:rPr>
              <w:t>Wykonawca zobowiązany jest ująć w dokumentacji powykonawczej faktyczne lokalizacje instalacji sond, sposób ich montażu i wpięcia do sieci OT, monitorowane segmenty, powiązanie z centralnym systemem bezpieczeństwa OT IDS/IPS oraz ewentualne ograniczenia widoczności ruchu wynikające z istniejącej architektury sieci, tunelowania, szyfrowania, braku punktów SPAN/mirror/TAP lub braku dostępu do konfiguracji urządzeń OT.</w:t>
            </w:r>
          </w:p>
        </w:tc>
      </w:tr>
      <w:tr w:rsidR="00C7667F" w:rsidRPr="00ED1F95" w14:paraId="0E1A925E" w14:textId="77777777" w:rsidTr="00036834">
        <w:tc>
          <w:tcPr>
            <w:tcW w:w="0" w:type="auto"/>
            <w:vAlign w:val="center"/>
          </w:tcPr>
          <w:p w14:paraId="5FBA3A3D" w14:textId="5417E088" w:rsidR="00C7667F" w:rsidRDefault="00C7667F" w:rsidP="00036834">
            <w:pPr>
              <w:rPr>
                <w:rFonts w:ascii="Tahoma" w:hAnsi="Tahoma" w:cs="Tahoma"/>
              </w:rPr>
            </w:pPr>
            <w:r>
              <w:rPr>
                <w:rFonts w:ascii="Tahoma" w:hAnsi="Tahoma" w:cs="Tahoma"/>
              </w:rPr>
              <w:t>3</w:t>
            </w:r>
            <w:r w:rsidR="00170D27">
              <w:rPr>
                <w:rFonts w:ascii="Tahoma" w:hAnsi="Tahoma" w:cs="Tahoma"/>
              </w:rPr>
              <w:t>2</w:t>
            </w:r>
          </w:p>
        </w:tc>
        <w:tc>
          <w:tcPr>
            <w:tcW w:w="2884" w:type="dxa"/>
            <w:vAlign w:val="center"/>
          </w:tcPr>
          <w:p w14:paraId="06591B51" w14:textId="5C3AE8A5" w:rsidR="00C7667F" w:rsidRPr="001333D2" w:rsidRDefault="00C7667F" w:rsidP="00036834">
            <w:pPr>
              <w:rPr>
                <w:rFonts w:ascii="Tahoma" w:hAnsi="Tahoma" w:cs="Tahoma"/>
              </w:rPr>
            </w:pPr>
            <w:r>
              <w:rPr>
                <w:rFonts w:ascii="Tahoma" w:hAnsi="Tahoma" w:cs="Tahoma"/>
              </w:rPr>
              <w:t>Gwarancja</w:t>
            </w:r>
          </w:p>
        </w:tc>
        <w:tc>
          <w:tcPr>
            <w:tcW w:w="6089" w:type="dxa"/>
          </w:tcPr>
          <w:p w14:paraId="0AA74BEA" w14:textId="43A6DCE6" w:rsidR="00C7667F" w:rsidRPr="00C7667F" w:rsidRDefault="00C7667F" w:rsidP="00C7667F">
            <w:pPr>
              <w:spacing w:line="276" w:lineRule="auto"/>
              <w:jc w:val="both"/>
              <w:rPr>
                <w:rFonts w:ascii="Tahoma" w:hAnsi="Tahoma" w:cs="Tahoma"/>
              </w:rPr>
            </w:pPr>
            <w:r w:rsidRPr="00C7667F">
              <w:rPr>
                <w:rFonts w:ascii="Tahoma" w:hAnsi="Tahoma" w:cs="Tahoma"/>
              </w:rPr>
              <w:t>Wykonawca zobowiązany jest udzielić gwarancji na dostarczone sondy sprzętowe na okres co najmniej 36 miesięcy liczony od dnia podpisania protokołu odbioru końcowego bez zastrzeżeń.</w:t>
            </w:r>
          </w:p>
          <w:p w14:paraId="4F180B5A" w14:textId="77777777" w:rsidR="00C7667F" w:rsidRPr="00C7667F" w:rsidRDefault="00C7667F" w:rsidP="00C7667F">
            <w:pPr>
              <w:spacing w:line="276" w:lineRule="auto"/>
              <w:jc w:val="both"/>
              <w:rPr>
                <w:rFonts w:ascii="Tahoma" w:hAnsi="Tahoma" w:cs="Tahoma"/>
              </w:rPr>
            </w:pPr>
            <w:r w:rsidRPr="00C7667F">
              <w:rPr>
                <w:rFonts w:ascii="Tahoma" w:hAnsi="Tahoma" w:cs="Tahoma"/>
              </w:rPr>
              <w:t>Gwarancja musi obejmować co najmniej wady fizyczne, materiałowe, produkcyjne i konstrukcyjne urządzeń, awarie sprzętowe, nieprawidłowe działanie interfejsów sieciowych, zasilania oraz innych elementów sprzętowych niezbędnych do prawidłowej pracy sond w środowisku Zamawiającego.</w:t>
            </w:r>
          </w:p>
          <w:p w14:paraId="68785023" w14:textId="77777777" w:rsidR="00C7667F" w:rsidRPr="00C7667F" w:rsidRDefault="00C7667F" w:rsidP="00C7667F">
            <w:pPr>
              <w:spacing w:line="276" w:lineRule="auto"/>
              <w:jc w:val="both"/>
              <w:rPr>
                <w:rFonts w:ascii="Tahoma" w:hAnsi="Tahoma" w:cs="Tahoma"/>
              </w:rPr>
            </w:pPr>
            <w:r w:rsidRPr="00C7667F">
              <w:rPr>
                <w:rFonts w:ascii="Tahoma" w:hAnsi="Tahoma" w:cs="Tahoma"/>
              </w:rPr>
              <w:t>W okresie gwarancji Wykonawca zobowiązany jest zapewnić naprawę albo wymianę wadliwego urządzenia lub jego elementu na sprawny, o parametrach nie gorszych niż urządzenie pierwotnie dostarczone. Wszelkie koszty związane z realizacją gwarancji, w tym koszty transportu, diagnostyki, naprawy, wymiany urządzenia oraz ponownego uruchomienia urządzenia po naprawie lub wymianie, ponosi Wykonawca.</w:t>
            </w:r>
          </w:p>
          <w:p w14:paraId="72BB8921" w14:textId="77777777" w:rsidR="00C7667F" w:rsidRDefault="00C7667F" w:rsidP="0065517E">
            <w:pPr>
              <w:spacing w:line="276" w:lineRule="auto"/>
              <w:jc w:val="both"/>
              <w:rPr>
                <w:rFonts w:ascii="Tahoma" w:hAnsi="Tahoma" w:cs="Tahoma"/>
              </w:rPr>
            </w:pPr>
            <w:r w:rsidRPr="00C7667F">
              <w:rPr>
                <w:rFonts w:ascii="Tahoma" w:hAnsi="Tahoma" w:cs="Tahoma"/>
              </w:rPr>
              <w:t>Realizacja uprawnień gwarancyjnych nie może powodować utraty konfiguracji, danych eksploatacyjnych ani możliwości współpracy sond z centralnym systemem bezpieczeństwa OT IDS/IPS, o ile ich zachowanie jest technicznie możliwe. W przypadku wymiany urządzenia Wykonawca zobowiązany jest zapewnić jego ponowną konfigurację i integrację z systemem centralnym w zakresie niezbędnym do przywrócenia działania rozwiązania.</w:t>
            </w:r>
          </w:p>
          <w:p w14:paraId="79875053" w14:textId="77777777" w:rsidR="00C7667F" w:rsidRPr="00C7667F" w:rsidRDefault="00C7667F" w:rsidP="00C7667F">
            <w:pPr>
              <w:spacing w:line="276" w:lineRule="auto"/>
              <w:jc w:val="both"/>
              <w:rPr>
                <w:rFonts w:ascii="Tahoma" w:hAnsi="Tahoma" w:cs="Tahoma"/>
              </w:rPr>
            </w:pPr>
            <w:r w:rsidRPr="00C7667F">
              <w:rPr>
                <w:rFonts w:ascii="Tahoma" w:hAnsi="Tahoma" w:cs="Tahoma"/>
              </w:rPr>
              <w:t>Zgłoszenia gwarancyjne będą dokonywane przez Zamawiającego drogą elektroniczną na adres e-mail wskazany przez Wykonawcę lub za pośrednictwem systemu zgłoszeniowego Wykonawcy, jeżeli taki system zostanie udostępniony Zamawiającemu.</w:t>
            </w:r>
          </w:p>
          <w:p w14:paraId="572185F9" w14:textId="77777777" w:rsidR="00C7667F" w:rsidRPr="00C7667F" w:rsidRDefault="00C7667F" w:rsidP="00C7667F">
            <w:pPr>
              <w:spacing w:line="276" w:lineRule="auto"/>
              <w:jc w:val="both"/>
              <w:rPr>
                <w:rFonts w:ascii="Tahoma" w:hAnsi="Tahoma" w:cs="Tahoma"/>
              </w:rPr>
            </w:pPr>
            <w:r w:rsidRPr="00C7667F">
              <w:rPr>
                <w:rFonts w:ascii="Tahoma" w:hAnsi="Tahoma" w:cs="Tahoma"/>
              </w:rPr>
              <w:t>Wykonawca zobowiązany jest potwierdzić przyjęcie zgłoszenia w terminie nie dłuższym niż 1 dzień roboczy od jego otrzymania oraz rozpocząć diagnostykę nie później niż w terminie 2 dni roboczych od potwierdzenia przyjęcia zgłoszenia.</w:t>
            </w:r>
          </w:p>
          <w:p w14:paraId="3C1D8B2E" w14:textId="77777777" w:rsidR="00C7667F" w:rsidRPr="00C7667F" w:rsidRDefault="00C7667F" w:rsidP="00C7667F">
            <w:pPr>
              <w:spacing w:line="276" w:lineRule="auto"/>
              <w:jc w:val="both"/>
              <w:rPr>
                <w:rFonts w:ascii="Tahoma" w:hAnsi="Tahoma" w:cs="Tahoma"/>
              </w:rPr>
            </w:pPr>
            <w:r w:rsidRPr="00C7667F">
              <w:rPr>
                <w:rFonts w:ascii="Tahoma" w:hAnsi="Tahoma" w:cs="Tahoma"/>
              </w:rPr>
              <w:t>Usunięcie awarii, usterki lub wady powinno nastąpić w terminie nie dłuższym niż 10 dni roboczych od dnia przyjęcia zgłoszenia. Jeżeli usunięcie awarii wymaga wymiany sondy lub jej elementu, Wykonawca zobowiązany jest dostarczyć urządzenie lub element wolny od wad, o parametrach nie gorszych niż pierwotnie dostarczone, oraz zapewnić ponowną konfigurację i integrację z centralnym systemem bezpieczeństwa OT IDS/IPS.</w:t>
            </w:r>
          </w:p>
          <w:p w14:paraId="547148DD" w14:textId="77777777" w:rsidR="00C7667F" w:rsidRPr="00C7667F" w:rsidRDefault="00C7667F" w:rsidP="00C7667F">
            <w:pPr>
              <w:spacing w:line="276" w:lineRule="auto"/>
              <w:jc w:val="both"/>
              <w:rPr>
                <w:rFonts w:ascii="Tahoma" w:hAnsi="Tahoma" w:cs="Tahoma"/>
              </w:rPr>
            </w:pPr>
            <w:r w:rsidRPr="00C7667F">
              <w:rPr>
                <w:rFonts w:ascii="Tahoma" w:hAnsi="Tahoma" w:cs="Tahoma"/>
              </w:rPr>
              <w:t>Wszelkie koszty obsługi zgłoszenia gwarancyjnego, w tym diagnostyki, transportu, naprawy, wymiany, robocizny, dojazdu, ponownej konfiguracji i integracji, ponosi Wykonawca.</w:t>
            </w:r>
          </w:p>
          <w:p w14:paraId="2379AE25" w14:textId="698864BF" w:rsidR="00C7667F" w:rsidRPr="001333D2" w:rsidRDefault="00C7667F" w:rsidP="0065517E">
            <w:pPr>
              <w:spacing w:line="276" w:lineRule="auto"/>
              <w:jc w:val="both"/>
              <w:rPr>
                <w:rFonts w:ascii="Tahoma" w:hAnsi="Tahoma" w:cs="Tahoma"/>
              </w:rPr>
            </w:pPr>
            <w:r w:rsidRPr="00C7667F">
              <w:rPr>
                <w:rFonts w:ascii="Tahoma" w:hAnsi="Tahoma" w:cs="Tahoma"/>
              </w:rPr>
              <w:t>Zamawiający dopuszcza zdalną diagnostykę i zdalne czynności serwisowe, o ile są one zgodne z zasadami bezpieczeństwa środowiska OT i nie powodują niedopuszczalnego wpływu na pracę infrastruktury przemysłowej.</w:t>
            </w:r>
          </w:p>
        </w:tc>
      </w:tr>
    </w:tbl>
    <w:p w14:paraId="43952225" w14:textId="77777777" w:rsidR="000931DB" w:rsidRPr="00200170" w:rsidRDefault="000931DB" w:rsidP="000A73E2">
      <w:pPr>
        <w:rPr>
          <w:rFonts w:ascii="Tahoma" w:hAnsi="Tahoma" w:cs="Tahoma"/>
        </w:rPr>
      </w:pPr>
    </w:p>
    <w:sectPr w:rsidR="000931DB"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F30D" w14:textId="77777777" w:rsidR="00733CB6" w:rsidRDefault="00733CB6">
      <w:r>
        <w:separator/>
      </w:r>
    </w:p>
  </w:endnote>
  <w:endnote w:type="continuationSeparator" w:id="0">
    <w:p w14:paraId="53B77B99" w14:textId="77777777" w:rsidR="00733CB6" w:rsidRDefault="0073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A66A5" w14:textId="77777777" w:rsidR="00733CB6" w:rsidRDefault="00733CB6">
      <w:r>
        <w:separator/>
      </w:r>
    </w:p>
  </w:footnote>
  <w:footnote w:type="continuationSeparator" w:id="0">
    <w:p w14:paraId="1960FCAB" w14:textId="77777777" w:rsidR="00733CB6" w:rsidRDefault="0073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C812DE"/>
    <w:multiLevelType w:val="multilevel"/>
    <w:tmpl w:val="F9FE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4" w15:restartNumberingAfterBreak="0">
    <w:nsid w:val="1FC872C3"/>
    <w:multiLevelType w:val="multilevel"/>
    <w:tmpl w:val="DFCC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106E16"/>
    <w:multiLevelType w:val="multilevel"/>
    <w:tmpl w:val="2272E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7"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0"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73461A"/>
    <w:multiLevelType w:val="multilevel"/>
    <w:tmpl w:val="43D49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4"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3"/>
  </w:num>
  <w:num w:numId="4" w16cid:durableId="907615826">
    <w:abstractNumId w:val="9"/>
  </w:num>
  <w:num w:numId="5" w16cid:durableId="397635744">
    <w:abstractNumId w:val="19"/>
  </w:num>
  <w:num w:numId="6" w16cid:durableId="1648318210">
    <w:abstractNumId w:val="17"/>
  </w:num>
  <w:num w:numId="7" w16cid:durableId="331833269">
    <w:abstractNumId w:val="18"/>
  </w:num>
  <w:num w:numId="8" w16cid:durableId="162362834">
    <w:abstractNumId w:val="0"/>
  </w:num>
  <w:num w:numId="9" w16cid:durableId="493955748">
    <w:abstractNumId w:val="1"/>
  </w:num>
  <w:num w:numId="10" w16cid:durableId="1613436086">
    <w:abstractNumId w:val="16"/>
  </w:num>
  <w:num w:numId="11" w16cid:durableId="7873616">
    <w:abstractNumId w:val="12"/>
  </w:num>
  <w:num w:numId="12" w16cid:durableId="1726102718">
    <w:abstractNumId w:val="20"/>
  </w:num>
  <w:num w:numId="13" w16cid:durableId="333580693">
    <w:abstractNumId w:val="15"/>
  </w:num>
  <w:num w:numId="14" w16cid:durableId="1335911795">
    <w:abstractNumId w:val="10"/>
  </w:num>
  <w:num w:numId="15" w16cid:durableId="736320308">
    <w:abstractNumId w:val="8"/>
  </w:num>
  <w:num w:numId="16" w16cid:durableId="1160580737">
    <w:abstractNumId w:val="7"/>
  </w:num>
  <w:num w:numId="17" w16cid:durableId="1300263558">
    <w:abstractNumId w:val="14"/>
  </w:num>
  <w:num w:numId="18" w16cid:durableId="1374303078">
    <w:abstractNumId w:val="2"/>
  </w:num>
  <w:num w:numId="19" w16cid:durableId="503521802">
    <w:abstractNumId w:val="4"/>
  </w:num>
  <w:num w:numId="20" w16cid:durableId="387457691">
    <w:abstractNumId w:val="5"/>
  </w:num>
  <w:num w:numId="21" w16cid:durableId="16157484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36834"/>
    <w:rsid w:val="0004603C"/>
    <w:rsid w:val="00065C40"/>
    <w:rsid w:val="0008646A"/>
    <w:rsid w:val="000931DB"/>
    <w:rsid w:val="00094EF6"/>
    <w:rsid w:val="000A3EEA"/>
    <w:rsid w:val="000A73E2"/>
    <w:rsid w:val="000E21EF"/>
    <w:rsid w:val="000E45A5"/>
    <w:rsid w:val="0010162A"/>
    <w:rsid w:val="00104159"/>
    <w:rsid w:val="001333D2"/>
    <w:rsid w:val="001561C5"/>
    <w:rsid w:val="00170D27"/>
    <w:rsid w:val="00200170"/>
    <w:rsid w:val="00210260"/>
    <w:rsid w:val="00214307"/>
    <w:rsid w:val="00237CD6"/>
    <w:rsid w:val="002571F6"/>
    <w:rsid w:val="002B08FC"/>
    <w:rsid w:val="002B40F4"/>
    <w:rsid w:val="002C4CA1"/>
    <w:rsid w:val="002D66BB"/>
    <w:rsid w:val="002E30C7"/>
    <w:rsid w:val="002E6BDD"/>
    <w:rsid w:val="002F66E8"/>
    <w:rsid w:val="00310274"/>
    <w:rsid w:val="003134FE"/>
    <w:rsid w:val="003165EB"/>
    <w:rsid w:val="0032350E"/>
    <w:rsid w:val="003816DA"/>
    <w:rsid w:val="00385FFB"/>
    <w:rsid w:val="003B74B8"/>
    <w:rsid w:val="00407B3C"/>
    <w:rsid w:val="00412555"/>
    <w:rsid w:val="0042606F"/>
    <w:rsid w:val="00472E5D"/>
    <w:rsid w:val="00482EA3"/>
    <w:rsid w:val="004844AD"/>
    <w:rsid w:val="004C5C3E"/>
    <w:rsid w:val="004E62F6"/>
    <w:rsid w:val="004E6848"/>
    <w:rsid w:val="005115C2"/>
    <w:rsid w:val="00535241"/>
    <w:rsid w:val="0058722E"/>
    <w:rsid w:val="00595130"/>
    <w:rsid w:val="00595F8D"/>
    <w:rsid w:val="005A056A"/>
    <w:rsid w:val="005B7917"/>
    <w:rsid w:val="005C68C4"/>
    <w:rsid w:val="005E22E2"/>
    <w:rsid w:val="00600C48"/>
    <w:rsid w:val="00622B30"/>
    <w:rsid w:val="00630986"/>
    <w:rsid w:val="00651DBC"/>
    <w:rsid w:val="0065517E"/>
    <w:rsid w:val="00670180"/>
    <w:rsid w:val="006760F1"/>
    <w:rsid w:val="006A19F4"/>
    <w:rsid w:val="006D19B4"/>
    <w:rsid w:val="006E040C"/>
    <w:rsid w:val="007021C9"/>
    <w:rsid w:val="007077F2"/>
    <w:rsid w:val="00733CB6"/>
    <w:rsid w:val="00735813"/>
    <w:rsid w:val="00744F9D"/>
    <w:rsid w:val="00760990"/>
    <w:rsid w:val="00761B48"/>
    <w:rsid w:val="00780D75"/>
    <w:rsid w:val="00790E2A"/>
    <w:rsid w:val="00806E55"/>
    <w:rsid w:val="008123F5"/>
    <w:rsid w:val="00862A51"/>
    <w:rsid w:val="00863D3F"/>
    <w:rsid w:val="0088784C"/>
    <w:rsid w:val="008B2E44"/>
    <w:rsid w:val="008C4DE6"/>
    <w:rsid w:val="008D7C6A"/>
    <w:rsid w:val="0090204C"/>
    <w:rsid w:val="009025E8"/>
    <w:rsid w:val="009209C3"/>
    <w:rsid w:val="00924460"/>
    <w:rsid w:val="009823C9"/>
    <w:rsid w:val="009A5797"/>
    <w:rsid w:val="009B56F9"/>
    <w:rsid w:val="009B7B29"/>
    <w:rsid w:val="009C3A36"/>
    <w:rsid w:val="009F2139"/>
    <w:rsid w:val="009F31C5"/>
    <w:rsid w:val="00A228FA"/>
    <w:rsid w:val="00A25198"/>
    <w:rsid w:val="00A27692"/>
    <w:rsid w:val="00A32D5A"/>
    <w:rsid w:val="00A34049"/>
    <w:rsid w:val="00A40375"/>
    <w:rsid w:val="00A42564"/>
    <w:rsid w:val="00A47914"/>
    <w:rsid w:val="00A6623F"/>
    <w:rsid w:val="00A834F4"/>
    <w:rsid w:val="00A8394D"/>
    <w:rsid w:val="00A955D5"/>
    <w:rsid w:val="00A97B93"/>
    <w:rsid w:val="00AD274B"/>
    <w:rsid w:val="00AE404F"/>
    <w:rsid w:val="00AF0F6C"/>
    <w:rsid w:val="00AF3CB9"/>
    <w:rsid w:val="00AF4EB4"/>
    <w:rsid w:val="00B02C1C"/>
    <w:rsid w:val="00B066B2"/>
    <w:rsid w:val="00B369AF"/>
    <w:rsid w:val="00B371AE"/>
    <w:rsid w:val="00B37C91"/>
    <w:rsid w:val="00B54383"/>
    <w:rsid w:val="00B546E9"/>
    <w:rsid w:val="00B615FE"/>
    <w:rsid w:val="00B619ED"/>
    <w:rsid w:val="00B673BB"/>
    <w:rsid w:val="00B76639"/>
    <w:rsid w:val="00B82BCE"/>
    <w:rsid w:val="00B82EF6"/>
    <w:rsid w:val="00B91DAA"/>
    <w:rsid w:val="00BC79CC"/>
    <w:rsid w:val="00BD7C8D"/>
    <w:rsid w:val="00C029AA"/>
    <w:rsid w:val="00C06AC7"/>
    <w:rsid w:val="00C0733F"/>
    <w:rsid w:val="00C13123"/>
    <w:rsid w:val="00C14A13"/>
    <w:rsid w:val="00C24F21"/>
    <w:rsid w:val="00C3461A"/>
    <w:rsid w:val="00C41A18"/>
    <w:rsid w:val="00C6529D"/>
    <w:rsid w:val="00C7667F"/>
    <w:rsid w:val="00C965EE"/>
    <w:rsid w:val="00CA4211"/>
    <w:rsid w:val="00CA518A"/>
    <w:rsid w:val="00CB53C1"/>
    <w:rsid w:val="00CC431D"/>
    <w:rsid w:val="00CF1AB9"/>
    <w:rsid w:val="00D131E0"/>
    <w:rsid w:val="00DB4670"/>
    <w:rsid w:val="00DB4864"/>
    <w:rsid w:val="00DC0C56"/>
    <w:rsid w:val="00DD071F"/>
    <w:rsid w:val="00DD59C4"/>
    <w:rsid w:val="00DF73DF"/>
    <w:rsid w:val="00E05B94"/>
    <w:rsid w:val="00E1663C"/>
    <w:rsid w:val="00E81AAD"/>
    <w:rsid w:val="00E82DDD"/>
    <w:rsid w:val="00E830FC"/>
    <w:rsid w:val="00E849DB"/>
    <w:rsid w:val="00EA5546"/>
    <w:rsid w:val="00EB7791"/>
    <w:rsid w:val="00ED1F95"/>
    <w:rsid w:val="00EE312E"/>
    <w:rsid w:val="00EF3BD6"/>
    <w:rsid w:val="00F51176"/>
    <w:rsid w:val="00F6134F"/>
    <w:rsid w:val="00F753C2"/>
    <w:rsid w:val="00F75559"/>
    <w:rsid w:val="00F77C02"/>
    <w:rsid w:val="00F8620F"/>
    <w:rsid w:val="00F86CB8"/>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8</Pages>
  <Words>3351</Words>
  <Characters>17697</Characters>
  <Application>Microsoft Office Word</Application>
  <DocSecurity>0</DocSecurity>
  <Lines>1769</Lines>
  <Paragraphs>1403</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35</cp:revision>
  <cp:lastPrinted>2018-03-26T09:55:00Z</cp:lastPrinted>
  <dcterms:created xsi:type="dcterms:W3CDTF">2026-03-21T17:13:00Z</dcterms:created>
  <dcterms:modified xsi:type="dcterms:W3CDTF">2026-07-05T19:41:00Z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