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0F052E9" w:rsidR="000A73E2" w:rsidRPr="00B673BB" w:rsidRDefault="00B673BB" w:rsidP="00B673BB">
      <w:pPr>
        <w:jc w:val="right"/>
        <w:rPr>
          <w:rFonts w:ascii="Tahoma" w:hAnsi="Tahoma" w:cs="Tahoma"/>
          <w:b/>
          <w:bCs/>
        </w:rPr>
      </w:pPr>
      <w:r w:rsidRPr="350069B3">
        <w:rPr>
          <w:rFonts w:ascii="Tahoma" w:hAnsi="Tahoma" w:cs="Tahoma"/>
          <w:b/>
          <w:bCs/>
        </w:rPr>
        <w:t>Załącznik 1</w:t>
      </w:r>
      <w:r w:rsidR="2FB674B6" w:rsidRPr="350069B3">
        <w:rPr>
          <w:rFonts w:ascii="Tahoma" w:hAnsi="Tahoma" w:cs="Tahoma"/>
          <w:b/>
          <w:bCs/>
        </w:rPr>
        <w:t>.2</w:t>
      </w:r>
      <w:r w:rsidR="00B429CA">
        <w:rPr>
          <w:rFonts w:ascii="Tahoma" w:hAnsi="Tahoma" w:cs="Tahoma"/>
          <w:b/>
          <w:bCs/>
        </w:rPr>
        <w:t>4</w:t>
      </w:r>
    </w:p>
    <w:p w14:paraId="19B52394" w14:textId="3E52E11E" w:rsidR="00200170" w:rsidRPr="00B673BB" w:rsidRDefault="00D2077C" w:rsidP="000A73E2">
      <w:pPr>
        <w:rPr>
          <w:rFonts w:ascii="Tahoma" w:hAnsi="Tahoma" w:cs="Tahoma"/>
          <w:b/>
          <w:bCs/>
        </w:rPr>
      </w:pPr>
      <w:r w:rsidRPr="00D2077C">
        <w:rPr>
          <w:rFonts w:ascii="Tahoma" w:hAnsi="Tahoma" w:cs="Tahoma"/>
          <w:b/>
          <w:bCs/>
        </w:rPr>
        <w:t>Zakup serwera w architekturze HA</w:t>
      </w:r>
      <w:r w:rsidR="00001903">
        <w:rPr>
          <w:rFonts w:ascii="Tahoma" w:hAnsi="Tahoma" w:cs="Tahoma"/>
          <w:b/>
          <w:bCs/>
        </w:rPr>
        <w:t xml:space="preserve"> (</w:t>
      </w:r>
      <w:r>
        <w:rPr>
          <w:rFonts w:ascii="Tahoma" w:hAnsi="Tahoma" w:cs="Tahoma"/>
          <w:b/>
          <w:bCs/>
        </w:rPr>
        <w:t>2</w:t>
      </w:r>
      <w:r w:rsidR="00001903">
        <w:rPr>
          <w:rFonts w:ascii="Tahoma" w:hAnsi="Tahoma" w:cs="Tahoma"/>
          <w:b/>
          <w:bCs/>
        </w:rPr>
        <w:t xml:space="preserve"> sztuk</w:t>
      </w:r>
      <w:r>
        <w:rPr>
          <w:rFonts w:ascii="Tahoma" w:hAnsi="Tahoma" w:cs="Tahoma"/>
          <w:b/>
          <w:bCs/>
        </w:rPr>
        <w:t>i</w:t>
      </w:r>
      <w:r w:rsidR="00001903">
        <w:rPr>
          <w:rFonts w:ascii="Tahoma" w:hAnsi="Tahoma" w:cs="Tahoma"/>
          <w:b/>
          <w:bCs/>
        </w:rPr>
        <w:t>)</w:t>
      </w:r>
    </w:p>
    <w:tbl>
      <w:tblPr>
        <w:tblStyle w:val="Tabela-Siatka"/>
        <w:tblW w:w="9634" w:type="dxa"/>
        <w:tblLook w:val="04A0" w:firstRow="1" w:lastRow="0" w:firstColumn="1" w:lastColumn="0" w:noHBand="0" w:noVBand="1"/>
      </w:tblPr>
      <w:tblGrid>
        <w:gridCol w:w="825"/>
        <w:gridCol w:w="2289"/>
        <w:gridCol w:w="6520"/>
      </w:tblGrid>
      <w:tr w:rsidR="00D2077C" w:rsidRPr="00D2077C" w14:paraId="4522BE57" w14:textId="77777777" w:rsidTr="350069B3">
        <w:tc>
          <w:tcPr>
            <w:tcW w:w="825" w:type="dxa"/>
            <w:vAlign w:val="center"/>
            <w:hideMark/>
          </w:tcPr>
          <w:p w14:paraId="27E9DB22" w14:textId="77777777" w:rsidR="00D2077C" w:rsidRPr="00D2077C" w:rsidRDefault="00D2077C" w:rsidP="00B11F75">
            <w:pPr>
              <w:jc w:val="center"/>
              <w:rPr>
                <w:rFonts w:ascii="Tahoma" w:hAnsi="Tahoma" w:cs="Tahoma"/>
                <w:b/>
                <w:bCs/>
              </w:rPr>
            </w:pPr>
            <w:r w:rsidRPr="00D2077C">
              <w:rPr>
                <w:rFonts w:ascii="Tahoma" w:hAnsi="Tahoma" w:cs="Tahoma"/>
                <w:b/>
                <w:bCs/>
              </w:rPr>
              <w:t>L.p.</w:t>
            </w:r>
          </w:p>
        </w:tc>
        <w:tc>
          <w:tcPr>
            <w:tcW w:w="2289" w:type="dxa"/>
            <w:vAlign w:val="center"/>
            <w:hideMark/>
          </w:tcPr>
          <w:p w14:paraId="518872CE" w14:textId="77777777" w:rsidR="00D2077C" w:rsidRPr="00D2077C" w:rsidRDefault="00D2077C" w:rsidP="00B11F75">
            <w:pPr>
              <w:jc w:val="center"/>
              <w:rPr>
                <w:rFonts w:ascii="Tahoma" w:hAnsi="Tahoma" w:cs="Tahoma"/>
                <w:b/>
                <w:bCs/>
              </w:rPr>
            </w:pPr>
            <w:r w:rsidRPr="00D2077C">
              <w:rPr>
                <w:rFonts w:ascii="Tahoma" w:hAnsi="Tahoma" w:cs="Tahoma"/>
                <w:b/>
                <w:bCs/>
              </w:rPr>
              <w:t>Parametr</w:t>
            </w:r>
          </w:p>
        </w:tc>
        <w:tc>
          <w:tcPr>
            <w:tcW w:w="6520" w:type="dxa"/>
            <w:hideMark/>
          </w:tcPr>
          <w:p w14:paraId="7AA91F4D" w14:textId="77777777" w:rsidR="00D2077C" w:rsidRPr="00D2077C" w:rsidRDefault="00D2077C" w:rsidP="0A8052FF">
            <w:pPr>
              <w:spacing w:line="276" w:lineRule="auto"/>
              <w:jc w:val="center"/>
              <w:rPr>
                <w:rFonts w:ascii="Tahoma" w:hAnsi="Tahoma" w:cs="Tahoma"/>
                <w:b/>
                <w:bCs/>
              </w:rPr>
            </w:pPr>
            <w:r w:rsidRPr="0A8052FF">
              <w:rPr>
                <w:rFonts w:ascii="Tahoma" w:hAnsi="Tahoma" w:cs="Tahoma"/>
                <w:b/>
                <w:bCs/>
              </w:rPr>
              <w:t>Wymaganie minimalne</w:t>
            </w:r>
          </w:p>
        </w:tc>
      </w:tr>
      <w:tr w:rsidR="00D2077C" w:rsidRPr="00D2077C" w14:paraId="6950A8A7" w14:textId="77777777" w:rsidTr="350069B3">
        <w:tc>
          <w:tcPr>
            <w:tcW w:w="825" w:type="dxa"/>
            <w:vAlign w:val="center"/>
            <w:hideMark/>
          </w:tcPr>
          <w:p w14:paraId="60ECE2B3" w14:textId="77777777" w:rsidR="00D2077C" w:rsidRPr="00D2077C" w:rsidRDefault="00D2077C" w:rsidP="00B11F75">
            <w:pPr>
              <w:rPr>
                <w:rFonts w:ascii="Tahoma" w:hAnsi="Tahoma" w:cs="Tahoma"/>
              </w:rPr>
            </w:pPr>
            <w:r w:rsidRPr="00D2077C">
              <w:rPr>
                <w:rFonts w:ascii="Tahoma" w:hAnsi="Tahoma" w:cs="Tahoma"/>
              </w:rPr>
              <w:t>1</w:t>
            </w:r>
          </w:p>
        </w:tc>
        <w:tc>
          <w:tcPr>
            <w:tcW w:w="2289" w:type="dxa"/>
            <w:vAlign w:val="center"/>
            <w:hideMark/>
          </w:tcPr>
          <w:p w14:paraId="7AC1D7B9" w14:textId="77777777" w:rsidR="00D2077C" w:rsidRPr="00D2077C" w:rsidRDefault="00D2077C" w:rsidP="00B11F75">
            <w:pPr>
              <w:rPr>
                <w:rFonts w:ascii="Tahoma" w:hAnsi="Tahoma" w:cs="Tahoma"/>
              </w:rPr>
            </w:pPr>
            <w:r w:rsidRPr="00D2077C">
              <w:rPr>
                <w:rFonts w:ascii="Tahoma" w:hAnsi="Tahoma" w:cs="Tahoma"/>
              </w:rPr>
              <w:t>Przedmiot zamówienia</w:t>
            </w:r>
          </w:p>
        </w:tc>
        <w:tc>
          <w:tcPr>
            <w:tcW w:w="6520" w:type="dxa"/>
            <w:hideMark/>
          </w:tcPr>
          <w:p w14:paraId="797DC738" w14:textId="0FFA2585" w:rsidR="00D2077C" w:rsidRPr="00D2077C" w:rsidRDefault="00CC3373" w:rsidP="0A8052FF">
            <w:pPr>
              <w:spacing w:line="276" w:lineRule="auto"/>
              <w:jc w:val="both"/>
              <w:rPr>
                <w:rFonts w:ascii="Tahoma" w:hAnsi="Tahoma" w:cs="Tahoma"/>
              </w:rPr>
            </w:pPr>
            <w:r w:rsidRPr="0A8052FF">
              <w:rPr>
                <w:rFonts w:ascii="Tahoma" w:hAnsi="Tahoma" w:cs="Tahoma"/>
              </w:rPr>
              <w:t>Przedmiotem zamówienia jest dostawa 2 serwerów fizycznych przeznaczonych do pracy w środowisku wysokiej dostępności (HA), przystosowanych do montażu w szafie rack 19”, wraz z elementami niezbędnymi do ich uruchomienia i eksploatacji w infrastrukturze teleinformatycznej zamawiającego. Oferowane urządzenia muszą być fabrycznie nowe, kompletne.</w:t>
            </w:r>
            <w:r>
              <w:br/>
            </w:r>
            <w:r w:rsidRPr="0A8052FF">
              <w:rPr>
                <w:rFonts w:ascii="Tahoma" w:hAnsi="Tahoma" w:cs="Tahoma"/>
              </w:rPr>
              <w:t>Rozwiązanie musi być kompatybilne i zdolne do współpracy, w zakresie niezbędnym do uruchomienia i eksploatacji, z pozostałymi elementami dostarczanymi w ramach tego samego zamówienia, w szczególności z urządzeniem NAS, systemem bezpieczeństwa OT IDS/IPS, sprzętowymi sondami monitorowania OT, stacją przesiadkową, infrastrukturą przełącznikową, zasilaniem awaryjnym UPS oraz szafą rack.</w:t>
            </w:r>
          </w:p>
        </w:tc>
      </w:tr>
      <w:tr w:rsidR="00D2077C" w:rsidRPr="00D2077C" w14:paraId="0AD3DE41" w14:textId="77777777" w:rsidTr="350069B3">
        <w:tc>
          <w:tcPr>
            <w:tcW w:w="825" w:type="dxa"/>
            <w:vAlign w:val="center"/>
            <w:hideMark/>
          </w:tcPr>
          <w:p w14:paraId="5662EB81" w14:textId="77777777" w:rsidR="00D2077C" w:rsidRPr="00D2077C" w:rsidRDefault="00D2077C" w:rsidP="00B11F75">
            <w:pPr>
              <w:rPr>
                <w:rFonts w:ascii="Tahoma" w:hAnsi="Tahoma" w:cs="Tahoma"/>
              </w:rPr>
            </w:pPr>
            <w:r w:rsidRPr="00D2077C">
              <w:rPr>
                <w:rFonts w:ascii="Tahoma" w:hAnsi="Tahoma" w:cs="Tahoma"/>
              </w:rPr>
              <w:t>2</w:t>
            </w:r>
          </w:p>
        </w:tc>
        <w:tc>
          <w:tcPr>
            <w:tcW w:w="2289" w:type="dxa"/>
            <w:vAlign w:val="center"/>
            <w:hideMark/>
          </w:tcPr>
          <w:p w14:paraId="2BF18FBA" w14:textId="77777777" w:rsidR="00D2077C" w:rsidRPr="00D2077C" w:rsidRDefault="00D2077C" w:rsidP="00B11F75">
            <w:pPr>
              <w:rPr>
                <w:rFonts w:ascii="Tahoma" w:hAnsi="Tahoma" w:cs="Tahoma"/>
              </w:rPr>
            </w:pPr>
            <w:r w:rsidRPr="00D2077C">
              <w:rPr>
                <w:rFonts w:ascii="Tahoma" w:hAnsi="Tahoma" w:cs="Tahoma"/>
              </w:rPr>
              <w:t>Liczba serwerów</w:t>
            </w:r>
          </w:p>
        </w:tc>
        <w:tc>
          <w:tcPr>
            <w:tcW w:w="6520" w:type="dxa"/>
            <w:hideMark/>
          </w:tcPr>
          <w:p w14:paraId="423BF41A" w14:textId="77777777" w:rsidR="00D2077C" w:rsidRDefault="00D2077C" w:rsidP="0A8052FF">
            <w:pPr>
              <w:spacing w:line="276" w:lineRule="auto"/>
              <w:jc w:val="both"/>
              <w:rPr>
                <w:rFonts w:ascii="Tahoma" w:hAnsi="Tahoma" w:cs="Tahoma"/>
              </w:rPr>
            </w:pPr>
            <w:r w:rsidRPr="0A8052FF">
              <w:rPr>
                <w:rFonts w:ascii="Tahoma" w:hAnsi="Tahoma" w:cs="Tahoma"/>
              </w:rPr>
              <w:t>Dostarczone rozwiązanie musi obejmować 2 serwery fizyczne, przeznaczone do współpracy w ramach jednego środowiska wysokiej dostępności (HA), o jednolitej architekturze sprzętowej i kompatybilnej konfiguracji umożliwiającej ich równorzędną pracę.</w:t>
            </w:r>
          </w:p>
          <w:p w14:paraId="6D23A091" w14:textId="24CC4938" w:rsidR="00927BE0" w:rsidRPr="00D2077C" w:rsidRDefault="00927BE0" w:rsidP="0A8052FF">
            <w:pPr>
              <w:spacing w:line="276" w:lineRule="auto"/>
              <w:jc w:val="both"/>
              <w:rPr>
                <w:rFonts w:ascii="Tahoma" w:hAnsi="Tahoma" w:cs="Tahoma"/>
              </w:rPr>
            </w:pPr>
            <w:r w:rsidRPr="00927BE0">
              <w:rPr>
                <w:rFonts w:ascii="Tahoma" w:hAnsi="Tahoma" w:cs="Tahoma"/>
              </w:rPr>
              <w:t xml:space="preserve">Zamawiający wymaga dostawy 2 serwerów fizycznych. Zamawiający nie przewiduje w ramach niniejszej pozycji dostawy trzeciego serwera fizycznego przeznaczonego wyłącznie do realizacji funkcji quorum, witness, arbitrażu lub funkcji równoważnej. Ewentualny mechanizm zapewnienia quorum, witness, qdevice, arbitrażu, ograniczenia ryzyka </w:t>
            </w:r>
            <w:r w:rsidRPr="00927BE0">
              <w:rPr>
                <w:rFonts w:ascii="Tahoma" w:hAnsi="Tahoma" w:cs="Tahoma"/>
              </w:rPr>
              <w:lastRenderedPageBreak/>
              <w:t>split-brain lub równoważny mechanizm zapewnienia prawidłowej pracy środowiska HA musi zostać zrealizowany w ramach architektury wdrożenia przyjętej przez Wykonawcę, z wykorzystaniem komponentów objętych zamówieniem lub infrastruktury posiadanej przez Zamawiającego, o ile będzie to zgodne z dokumentacją oferowanej technologii i nie będzie ograniczało podstawowej funkcji wykorzystywanego komponentu.</w:t>
            </w:r>
          </w:p>
        </w:tc>
      </w:tr>
      <w:tr w:rsidR="00D2077C" w:rsidRPr="00D2077C" w14:paraId="434622BC" w14:textId="77777777" w:rsidTr="350069B3">
        <w:tc>
          <w:tcPr>
            <w:tcW w:w="825" w:type="dxa"/>
            <w:vAlign w:val="center"/>
            <w:hideMark/>
          </w:tcPr>
          <w:p w14:paraId="7D021596" w14:textId="77777777" w:rsidR="00D2077C" w:rsidRPr="00D2077C" w:rsidRDefault="00D2077C" w:rsidP="00B11F75">
            <w:pPr>
              <w:rPr>
                <w:rFonts w:ascii="Tahoma" w:hAnsi="Tahoma" w:cs="Tahoma"/>
              </w:rPr>
            </w:pPr>
            <w:r w:rsidRPr="00D2077C">
              <w:rPr>
                <w:rFonts w:ascii="Tahoma" w:hAnsi="Tahoma" w:cs="Tahoma"/>
              </w:rPr>
              <w:lastRenderedPageBreak/>
              <w:t>3</w:t>
            </w:r>
          </w:p>
        </w:tc>
        <w:tc>
          <w:tcPr>
            <w:tcW w:w="2289" w:type="dxa"/>
            <w:vAlign w:val="center"/>
            <w:hideMark/>
          </w:tcPr>
          <w:p w14:paraId="5403219D" w14:textId="77777777" w:rsidR="00D2077C" w:rsidRPr="00D2077C" w:rsidRDefault="00D2077C" w:rsidP="00B11F75">
            <w:pPr>
              <w:rPr>
                <w:rFonts w:ascii="Tahoma" w:hAnsi="Tahoma" w:cs="Tahoma"/>
              </w:rPr>
            </w:pPr>
            <w:r w:rsidRPr="00D2077C">
              <w:rPr>
                <w:rFonts w:ascii="Tahoma" w:hAnsi="Tahoma" w:cs="Tahoma"/>
              </w:rPr>
              <w:t>Architektura rozwiązania HA</w:t>
            </w:r>
          </w:p>
        </w:tc>
        <w:tc>
          <w:tcPr>
            <w:tcW w:w="6520" w:type="dxa"/>
            <w:hideMark/>
          </w:tcPr>
          <w:p w14:paraId="59E1DE2B" w14:textId="77777777" w:rsidR="00CC3373" w:rsidRDefault="1FE7A7C5" w:rsidP="350069B3">
            <w:pPr>
              <w:spacing w:line="276" w:lineRule="auto"/>
              <w:jc w:val="both"/>
              <w:rPr>
                <w:rFonts w:ascii="Tahoma" w:eastAsia="Tahoma" w:hAnsi="Tahoma" w:cs="Tahoma"/>
              </w:rPr>
            </w:pPr>
            <w:r w:rsidRPr="350069B3">
              <w:rPr>
                <w:rFonts w:ascii="Tahoma" w:eastAsia="Tahoma" w:hAnsi="Tahoma" w:cs="Tahoma"/>
              </w:rPr>
              <w:t>Oferowane serwery muszą być przystosowane do pracy jako dwa węzły środowiska wysokiej dostępności (HA) i posiadać cechy techniczne umożliwiające budowę klastra wysokiej dostępności dla usług lub maszyn wirtualnych.</w:t>
            </w:r>
            <w:r w:rsidR="00840D2D">
              <w:br/>
            </w:r>
            <w:r w:rsidRPr="350069B3">
              <w:rPr>
                <w:rFonts w:ascii="Tahoma" w:eastAsia="Tahoma" w:hAnsi="Tahoma" w:cs="Tahoma"/>
              </w:rPr>
              <w:t>W ramach niniejszej pozycji zamówienia Zamawiający wymaga dostawy sprzętu zdolnego do pracy w architekturze HA.</w:t>
            </w:r>
            <w:r w:rsidR="00840D2D">
              <w:br/>
            </w:r>
            <w:r w:rsidRPr="350069B3">
              <w:rPr>
                <w:rFonts w:ascii="Tahoma" w:eastAsia="Tahoma" w:hAnsi="Tahoma" w:cs="Tahoma"/>
              </w:rPr>
              <w:t>Jeżeli pełna funkcjonalność HA wymaga zastosowania dodatkowego oprogramowania systemowego, wirtualizacyjnego, licencji, konfiguracji sieciowej lub współdzielonego/replikowanego repozytorium danych, elementy te muszą być zapewnione wyłącznie wówczas, gdy zostały wyraźnie przewidziane w innych częściach OPZ lub formularzu ofertowym.</w:t>
            </w:r>
            <w:r w:rsidR="00840D2D">
              <w:br/>
            </w:r>
            <w:r w:rsidRPr="350069B3">
              <w:rPr>
                <w:rFonts w:ascii="Tahoma" w:eastAsia="Tahoma" w:hAnsi="Tahoma" w:cs="Tahoma"/>
              </w:rPr>
              <w:t>Na etapie oceny zgodności oferty za spełnienie wymagania uznaje się wykazanie, że oferowane serwery posiadają parametry techniczne i interfejsy umożliwiające wdrożenie środowiska HA.</w:t>
            </w:r>
          </w:p>
          <w:p w14:paraId="6105A5A4" w14:textId="77777777" w:rsidR="008F61AB" w:rsidRDefault="008F61AB" w:rsidP="350069B3">
            <w:pPr>
              <w:spacing w:line="276" w:lineRule="auto"/>
              <w:jc w:val="both"/>
              <w:rPr>
                <w:rFonts w:ascii="Tahoma" w:hAnsi="Tahoma" w:cs="Tahoma"/>
              </w:rPr>
            </w:pPr>
            <w:r w:rsidRPr="008F61AB">
              <w:rPr>
                <w:rFonts w:ascii="Tahoma" w:hAnsi="Tahoma" w:cs="Tahoma"/>
              </w:rPr>
              <w:t>Dostarczone serwery muszą być kompletne sprzętowo w zakresie umożliwiającym ich wykorzystanie jako dwa węzły środowiska wysokiej dostępności wdrażanego w ramach odrębnej pozycji zamówienia „Wdrożenie serwera HA”. W szczególności serwery muszą posiadać wymagane interfejsy sieciowe, zasoby obliczeniowe, pamięć operacyjną, dyski systemowe, zasilanie redundantne oraz mechanizmy zarządzania zdalnego niezbędne do uruchomienia środowiska HA zgodnie z architekturą wdrożenia.</w:t>
            </w:r>
          </w:p>
          <w:p w14:paraId="71A293C4" w14:textId="77777777" w:rsidR="00927BE0" w:rsidRDefault="00927BE0" w:rsidP="350069B3">
            <w:pPr>
              <w:spacing w:line="276" w:lineRule="auto"/>
              <w:jc w:val="both"/>
              <w:rPr>
                <w:rFonts w:ascii="Tahoma" w:hAnsi="Tahoma" w:cs="Tahoma"/>
              </w:rPr>
            </w:pPr>
            <w:r>
              <w:rPr>
                <w:rFonts w:ascii="Tahoma" w:hAnsi="Tahoma" w:cs="Tahoma"/>
              </w:rPr>
              <w:lastRenderedPageBreak/>
              <w:t>Zamawiający</w:t>
            </w:r>
            <w:r w:rsidRPr="00927BE0">
              <w:rPr>
                <w:rFonts w:ascii="Tahoma" w:hAnsi="Tahoma" w:cs="Tahoma"/>
              </w:rPr>
              <w:t xml:space="preserve"> nie narzuca konkretnej technologii klastra, konkretnego mechanizmu quorum ani rozwiązania opartego o określony produkt, protokół lub oprogramowanie klastrowe. Wykonawca zobowiązany jest dobrać rozwiązanie zapewniające prawidłową pracę środowiska HA, w tym mechanizmy ograniczające ryzyko split-brain, utratę spójności klastra oraz niekontrolowane uruchomienie tych samych usług lub maszyn wirtualnych na więcej niż jednym węźle, jeżeli takie ryzyko występuje w przyjętej architekturze.</w:t>
            </w:r>
          </w:p>
          <w:p w14:paraId="172D6346" w14:textId="053843AA" w:rsidR="00927BE0" w:rsidRPr="00D2077C" w:rsidRDefault="00927BE0" w:rsidP="350069B3">
            <w:pPr>
              <w:spacing w:line="276" w:lineRule="auto"/>
              <w:jc w:val="both"/>
              <w:rPr>
                <w:rFonts w:ascii="Tahoma" w:hAnsi="Tahoma" w:cs="Tahoma"/>
              </w:rPr>
            </w:pPr>
            <w:r w:rsidRPr="00927BE0">
              <w:rPr>
                <w:rFonts w:ascii="Tahoma" w:hAnsi="Tahoma" w:cs="Tahoma"/>
              </w:rPr>
              <w:t>Zamawiający dopuszcza zastosowanie mechanizmu typu witness, quorum device, qdevice, arbitrażu, usługi systemowej, komponentu programowego, appliance wirtualnego albo rozwiązania równoważnego, pod warunkiem że rozwiązanie to nie wymaga dostawy dodatkowego serwera fizycznego niewskazanego w OPZ oraz jest zgodne z dokumentacją producenta lub dokumentacją techniczną zastosowanej technologii.</w:t>
            </w:r>
          </w:p>
        </w:tc>
      </w:tr>
      <w:tr w:rsidR="00D2077C" w:rsidRPr="00D2077C" w14:paraId="2E4F2EA5" w14:textId="77777777" w:rsidTr="350069B3">
        <w:tc>
          <w:tcPr>
            <w:tcW w:w="825" w:type="dxa"/>
            <w:vAlign w:val="center"/>
            <w:hideMark/>
          </w:tcPr>
          <w:p w14:paraId="74AF69E0" w14:textId="77777777" w:rsidR="00D2077C" w:rsidRPr="00D2077C" w:rsidRDefault="00D2077C" w:rsidP="00B11F75">
            <w:pPr>
              <w:rPr>
                <w:rFonts w:ascii="Tahoma" w:hAnsi="Tahoma" w:cs="Tahoma"/>
              </w:rPr>
            </w:pPr>
            <w:r w:rsidRPr="00D2077C">
              <w:rPr>
                <w:rFonts w:ascii="Tahoma" w:hAnsi="Tahoma" w:cs="Tahoma"/>
              </w:rPr>
              <w:lastRenderedPageBreak/>
              <w:t>4</w:t>
            </w:r>
          </w:p>
        </w:tc>
        <w:tc>
          <w:tcPr>
            <w:tcW w:w="2289" w:type="dxa"/>
            <w:vAlign w:val="center"/>
            <w:hideMark/>
          </w:tcPr>
          <w:p w14:paraId="087D9F94" w14:textId="77777777" w:rsidR="00D2077C" w:rsidRPr="00D2077C" w:rsidRDefault="00D2077C" w:rsidP="00B11F75">
            <w:pPr>
              <w:rPr>
                <w:rFonts w:ascii="Tahoma" w:hAnsi="Tahoma" w:cs="Tahoma"/>
              </w:rPr>
            </w:pPr>
            <w:r w:rsidRPr="00D2077C">
              <w:rPr>
                <w:rFonts w:ascii="Tahoma" w:hAnsi="Tahoma" w:cs="Tahoma"/>
              </w:rPr>
              <w:t>Typ serwera</w:t>
            </w:r>
          </w:p>
        </w:tc>
        <w:tc>
          <w:tcPr>
            <w:tcW w:w="6520" w:type="dxa"/>
            <w:hideMark/>
          </w:tcPr>
          <w:p w14:paraId="565FA524" w14:textId="4664A231" w:rsidR="00D2077C" w:rsidRPr="00D2077C" w:rsidRDefault="00D2077C" w:rsidP="0A8052FF">
            <w:pPr>
              <w:spacing w:line="276" w:lineRule="auto"/>
              <w:jc w:val="both"/>
              <w:rPr>
                <w:rFonts w:ascii="Tahoma" w:hAnsi="Tahoma" w:cs="Tahoma"/>
              </w:rPr>
            </w:pPr>
            <w:r w:rsidRPr="0A8052FF">
              <w:rPr>
                <w:rFonts w:ascii="Tahoma" w:hAnsi="Tahoma" w:cs="Tahoma"/>
              </w:rPr>
              <w:t>Serwer w obudowie typu rack, przeznaczony do pracy w środowisku serwerowym, przystosowany do montażu w standardowej szafie teleinformatycznej 19”, zaprojektowany do pracy ciągłej i zastosowań związanych z obsługą usług infrastrukturalnych, aplikacyjnych lub środowisk wirtualnych.</w:t>
            </w:r>
          </w:p>
        </w:tc>
      </w:tr>
      <w:tr w:rsidR="00D2077C" w:rsidRPr="00D2077C" w14:paraId="5573AD48" w14:textId="77777777" w:rsidTr="350069B3">
        <w:tc>
          <w:tcPr>
            <w:tcW w:w="825" w:type="dxa"/>
            <w:vAlign w:val="center"/>
            <w:hideMark/>
          </w:tcPr>
          <w:p w14:paraId="2EBD3E3E" w14:textId="77777777" w:rsidR="00D2077C" w:rsidRPr="00D2077C" w:rsidRDefault="00D2077C" w:rsidP="00B11F75">
            <w:pPr>
              <w:rPr>
                <w:rFonts w:ascii="Tahoma" w:hAnsi="Tahoma" w:cs="Tahoma"/>
              </w:rPr>
            </w:pPr>
            <w:r w:rsidRPr="00D2077C">
              <w:rPr>
                <w:rFonts w:ascii="Tahoma" w:hAnsi="Tahoma" w:cs="Tahoma"/>
              </w:rPr>
              <w:t>5</w:t>
            </w:r>
          </w:p>
        </w:tc>
        <w:tc>
          <w:tcPr>
            <w:tcW w:w="2289" w:type="dxa"/>
            <w:vAlign w:val="center"/>
            <w:hideMark/>
          </w:tcPr>
          <w:p w14:paraId="2D09A33F" w14:textId="77777777" w:rsidR="00D2077C" w:rsidRPr="00D2077C" w:rsidRDefault="00D2077C" w:rsidP="00B11F75">
            <w:pPr>
              <w:rPr>
                <w:rFonts w:ascii="Tahoma" w:hAnsi="Tahoma" w:cs="Tahoma"/>
              </w:rPr>
            </w:pPr>
            <w:r w:rsidRPr="00D2077C">
              <w:rPr>
                <w:rFonts w:ascii="Tahoma" w:hAnsi="Tahoma" w:cs="Tahoma"/>
              </w:rPr>
              <w:t>Obudowa</w:t>
            </w:r>
          </w:p>
        </w:tc>
        <w:tc>
          <w:tcPr>
            <w:tcW w:w="6520" w:type="dxa"/>
            <w:hideMark/>
          </w:tcPr>
          <w:p w14:paraId="65C86FBE" w14:textId="3DEF3EA8" w:rsidR="00D2077C" w:rsidRPr="00D2077C" w:rsidRDefault="00D2077C" w:rsidP="0A8052FF">
            <w:pPr>
              <w:spacing w:line="276" w:lineRule="auto"/>
              <w:jc w:val="both"/>
              <w:rPr>
                <w:rFonts w:ascii="Tahoma" w:hAnsi="Tahoma" w:cs="Tahoma"/>
              </w:rPr>
            </w:pPr>
            <w:r w:rsidRPr="0A8052FF">
              <w:rPr>
                <w:rFonts w:ascii="Tahoma" w:hAnsi="Tahoma" w:cs="Tahoma"/>
              </w:rPr>
              <w:t>Obudowa przystosowana do montażu w standardowej szafie rack 19”, umożliwiająca instalację wszystkich wymaganych komponentów wewnętrznych oraz zapewniająca odpowiednią cyrkulację powietrza i warunki pracy w środowisku centrum przetwarzania danych. Konstrukcja musi umożliwiać wygodny dostęp serwisowy oraz montaż przy użyciu dedykowanych szyn instalacyjnych dostarczonych wraz z serwerem.</w:t>
            </w:r>
          </w:p>
        </w:tc>
      </w:tr>
      <w:tr w:rsidR="00D2077C" w:rsidRPr="00D2077C" w14:paraId="5DCDECA7" w14:textId="77777777" w:rsidTr="350069B3">
        <w:tc>
          <w:tcPr>
            <w:tcW w:w="825" w:type="dxa"/>
            <w:vAlign w:val="center"/>
            <w:hideMark/>
          </w:tcPr>
          <w:p w14:paraId="51CB7427" w14:textId="77777777" w:rsidR="00D2077C" w:rsidRPr="00D2077C" w:rsidRDefault="00D2077C" w:rsidP="00B11F75">
            <w:pPr>
              <w:rPr>
                <w:rFonts w:ascii="Tahoma" w:hAnsi="Tahoma" w:cs="Tahoma"/>
              </w:rPr>
            </w:pPr>
            <w:r w:rsidRPr="00D2077C">
              <w:rPr>
                <w:rFonts w:ascii="Tahoma" w:hAnsi="Tahoma" w:cs="Tahoma"/>
              </w:rPr>
              <w:lastRenderedPageBreak/>
              <w:t>6</w:t>
            </w:r>
          </w:p>
        </w:tc>
        <w:tc>
          <w:tcPr>
            <w:tcW w:w="2289" w:type="dxa"/>
            <w:vAlign w:val="center"/>
            <w:hideMark/>
          </w:tcPr>
          <w:p w14:paraId="0533E393" w14:textId="77777777" w:rsidR="00D2077C" w:rsidRPr="00D2077C" w:rsidRDefault="00D2077C" w:rsidP="00B11F75">
            <w:pPr>
              <w:rPr>
                <w:rFonts w:ascii="Tahoma" w:hAnsi="Tahoma" w:cs="Tahoma"/>
              </w:rPr>
            </w:pPr>
            <w:r w:rsidRPr="00D2077C">
              <w:rPr>
                <w:rFonts w:ascii="Tahoma" w:hAnsi="Tahoma" w:cs="Tahoma"/>
              </w:rPr>
              <w:t>Procesor</w:t>
            </w:r>
          </w:p>
        </w:tc>
        <w:tc>
          <w:tcPr>
            <w:tcW w:w="6520" w:type="dxa"/>
            <w:hideMark/>
          </w:tcPr>
          <w:p w14:paraId="32AE24FE" w14:textId="6EA9808B" w:rsidR="00D2077C" w:rsidRPr="008F56B8" w:rsidRDefault="008F56B8" w:rsidP="0A8052FF">
            <w:pPr>
              <w:spacing w:line="276" w:lineRule="auto"/>
              <w:jc w:val="both"/>
              <w:rPr>
                <w:rFonts w:ascii="Tahoma" w:hAnsi="Tahoma" w:cs="Tahoma"/>
              </w:rPr>
            </w:pPr>
            <w:r w:rsidRPr="008F56B8">
              <w:rPr>
                <w:rFonts w:ascii="Tahoma" w:hAnsi="Tahoma" w:cs="Tahoma"/>
              </w:rPr>
              <w:t>Serwer musi być wyposażony w co najmniej 1 procesor klasy serwerowej, zgodny z oferowaną platformą sprzętową, przeznaczony do pracy ciągłej w środowiskach serwerowych, wielozadaniowych i wirtualizacyjnych, zgodny z architekturą x86-64.</w:t>
            </w:r>
          </w:p>
        </w:tc>
      </w:tr>
      <w:tr w:rsidR="00D2077C" w:rsidRPr="00D2077C" w14:paraId="6987E5C4" w14:textId="77777777" w:rsidTr="350069B3">
        <w:tc>
          <w:tcPr>
            <w:tcW w:w="825" w:type="dxa"/>
            <w:vAlign w:val="center"/>
            <w:hideMark/>
          </w:tcPr>
          <w:p w14:paraId="2B509CA7" w14:textId="76C54787" w:rsidR="00D2077C" w:rsidRPr="00D2077C" w:rsidRDefault="00B51707" w:rsidP="00B11F75">
            <w:pPr>
              <w:rPr>
                <w:rFonts w:ascii="Tahoma" w:hAnsi="Tahoma" w:cs="Tahoma"/>
              </w:rPr>
            </w:pPr>
            <w:r>
              <w:rPr>
                <w:rFonts w:ascii="Tahoma" w:hAnsi="Tahoma" w:cs="Tahoma"/>
              </w:rPr>
              <w:t>7</w:t>
            </w:r>
          </w:p>
        </w:tc>
        <w:tc>
          <w:tcPr>
            <w:tcW w:w="2289" w:type="dxa"/>
            <w:vAlign w:val="center"/>
            <w:hideMark/>
          </w:tcPr>
          <w:p w14:paraId="4E968517" w14:textId="77777777" w:rsidR="00D2077C" w:rsidRPr="00D2077C" w:rsidRDefault="00D2077C" w:rsidP="00B11F75">
            <w:pPr>
              <w:rPr>
                <w:rFonts w:ascii="Tahoma" w:hAnsi="Tahoma" w:cs="Tahoma"/>
              </w:rPr>
            </w:pPr>
            <w:r w:rsidRPr="00D2077C">
              <w:rPr>
                <w:rFonts w:ascii="Tahoma" w:hAnsi="Tahoma" w:cs="Tahoma"/>
              </w:rPr>
              <w:t>Pamięć RAM</w:t>
            </w:r>
          </w:p>
        </w:tc>
        <w:tc>
          <w:tcPr>
            <w:tcW w:w="6520" w:type="dxa"/>
            <w:hideMark/>
          </w:tcPr>
          <w:p w14:paraId="7F7C95B3" w14:textId="4044AE21" w:rsidR="00D2077C" w:rsidRPr="00D2077C" w:rsidRDefault="001C79E0" w:rsidP="0A8052FF">
            <w:pPr>
              <w:spacing w:line="276" w:lineRule="auto"/>
              <w:jc w:val="both"/>
              <w:rPr>
                <w:rFonts w:ascii="Tahoma" w:hAnsi="Tahoma" w:cs="Tahoma"/>
              </w:rPr>
            </w:pPr>
            <w:r w:rsidRPr="0A8052FF">
              <w:rPr>
                <w:rFonts w:ascii="Tahoma" w:hAnsi="Tahoma" w:cs="Tahoma"/>
              </w:rPr>
              <w:t>Serwer musi być wyposażony w zainstalowaną pamięć operacyjną RAM o łącznej pojemności nie mniejszej niż 32 GB. Zastosowana pamięć musi być kompatybilna z oferowaną platformą sprzętową oraz umożliwiać dalszą rozbudowę.</w:t>
            </w:r>
          </w:p>
        </w:tc>
      </w:tr>
      <w:tr w:rsidR="00D2077C" w:rsidRPr="00D2077C" w14:paraId="2FCCB20E" w14:textId="77777777" w:rsidTr="350069B3">
        <w:tc>
          <w:tcPr>
            <w:tcW w:w="825" w:type="dxa"/>
            <w:vAlign w:val="center"/>
            <w:hideMark/>
          </w:tcPr>
          <w:p w14:paraId="1D868638" w14:textId="4260260C" w:rsidR="00D2077C" w:rsidRPr="00D2077C" w:rsidRDefault="00B51707" w:rsidP="00B11F75">
            <w:pPr>
              <w:rPr>
                <w:rFonts w:ascii="Tahoma" w:hAnsi="Tahoma" w:cs="Tahoma"/>
              </w:rPr>
            </w:pPr>
            <w:r>
              <w:rPr>
                <w:rFonts w:ascii="Tahoma" w:hAnsi="Tahoma" w:cs="Tahoma"/>
              </w:rPr>
              <w:t>8</w:t>
            </w:r>
          </w:p>
        </w:tc>
        <w:tc>
          <w:tcPr>
            <w:tcW w:w="2289" w:type="dxa"/>
            <w:vAlign w:val="center"/>
            <w:hideMark/>
          </w:tcPr>
          <w:p w14:paraId="4CD7C90A" w14:textId="77777777" w:rsidR="00D2077C" w:rsidRPr="00D2077C" w:rsidRDefault="00D2077C" w:rsidP="00B11F75">
            <w:pPr>
              <w:rPr>
                <w:rFonts w:ascii="Tahoma" w:hAnsi="Tahoma" w:cs="Tahoma"/>
              </w:rPr>
            </w:pPr>
            <w:r w:rsidRPr="00D2077C">
              <w:rPr>
                <w:rFonts w:ascii="Tahoma" w:hAnsi="Tahoma" w:cs="Tahoma"/>
              </w:rPr>
              <w:t>Typ pamięci</w:t>
            </w:r>
          </w:p>
        </w:tc>
        <w:tc>
          <w:tcPr>
            <w:tcW w:w="6520" w:type="dxa"/>
            <w:hideMark/>
          </w:tcPr>
          <w:p w14:paraId="0D487567" w14:textId="2BF542C4" w:rsidR="00D2077C" w:rsidRPr="00D2077C" w:rsidRDefault="001C79E0" w:rsidP="0A8052FF">
            <w:pPr>
              <w:spacing w:line="276" w:lineRule="auto"/>
              <w:jc w:val="both"/>
              <w:rPr>
                <w:rFonts w:ascii="Tahoma" w:hAnsi="Tahoma" w:cs="Tahoma"/>
              </w:rPr>
            </w:pPr>
            <w:r w:rsidRPr="0A8052FF">
              <w:rPr>
                <w:rFonts w:ascii="Tahoma" w:hAnsi="Tahoma" w:cs="Tahoma"/>
              </w:rPr>
              <w:t>Serwer musi obsługiwać pamięć operacyjną typu zgodnego z architekturą oferowanego modelu, przeznaczoną do zastosowań serwerowych, zapewniającą kompatybilność z płytą główną i procesorem. Zastosowany typ pamięci musi wspierać funkcje wykrywania i korekcji błędów.</w:t>
            </w:r>
          </w:p>
        </w:tc>
      </w:tr>
      <w:tr w:rsidR="00D2077C" w:rsidRPr="00D2077C" w14:paraId="48364065" w14:textId="77777777" w:rsidTr="350069B3">
        <w:tc>
          <w:tcPr>
            <w:tcW w:w="825" w:type="dxa"/>
            <w:vAlign w:val="center"/>
            <w:hideMark/>
          </w:tcPr>
          <w:p w14:paraId="5AD7A16B" w14:textId="6C6091BA" w:rsidR="00D2077C" w:rsidRPr="00D2077C" w:rsidRDefault="00B51707" w:rsidP="00B11F75">
            <w:pPr>
              <w:rPr>
                <w:rFonts w:ascii="Tahoma" w:hAnsi="Tahoma" w:cs="Tahoma"/>
              </w:rPr>
            </w:pPr>
            <w:r>
              <w:rPr>
                <w:rFonts w:ascii="Tahoma" w:hAnsi="Tahoma" w:cs="Tahoma"/>
              </w:rPr>
              <w:t>9</w:t>
            </w:r>
          </w:p>
        </w:tc>
        <w:tc>
          <w:tcPr>
            <w:tcW w:w="2289" w:type="dxa"/>
            <w:vAlign w:val="center"/>
            <w:hideMark/>
          </w:tcPr>
          <w:p w14:paraId="1D587A03" w14:textId="77777777" w:rsidR="00D2077C" w:rsidRPr="00D2077C" w:rsidRDefault="00D2077C" w:rsidP="00B11F75">
            <w:pPr>
              <w:rPr>
                <w:rFonts w:ascii="Tahoma" w:hAnsi="Tahoma" w:cs="Tahoma"/>
              </w:rPr>
            </w:pPr>
            <w:r w:rsidRPr="00D2077C">
              <w:rPr>
                <w:rFonts w:ascii="Tahoma" w:hAnsi="Tahoma" w:cs="Tahoma"/>
              </w:rPr>
              <w:t>Maksymalna rozbudowa pamięci</w:t>
            </w:r>
          </w:p>
        </w:tc>
        <w:tc>
          <w:tcPr>
            <w:tcW w:w="6520" w:type="dxa"/>
            <w:hideMark/>
          </w:tcPr>
          <w:p w14:paraId="664D8D65" w14:textId="0D7EE873" w:rsidR="00D2077C" w:rsidRPr="00D2077C" w:rsidRDefault="001C79E0" w:rsidP="0A8052FF">
            <w:pPr>
              <w:spacing w:line="276" w:lineRule="auto"/>
              <w:jc w:val="both"/>
              <w:rPr>
                <w:rFonts w:ascii="Tahoma" w:hAnsi="Tahoma" w:cs="Tahoma"/>
              </w:rPr>
            </w:pPr>
            <w:r w:rsidRPr="0A8052FF">
              <w:rPr>
                <w:rFonts w:ascii="Tahoma" w:hAnsi="Tahoma" w:cs="Tahoma"/>
              </w:rPr>
              <w:t>Serwer musi umożliwiać rozbudowę pamięci operacyjnej RAM do poziomu co najmniej 128 GB, przy wykorzystaniu dostępnych slotów pamięci na płycie głównej, zgodnie z architekturą oferowanego modelu, bez konieczności wymiany podstawowych komponentów serwera.</w:t>
            </w:r>
          </w:p>
        </w:tc>
      </w:tr>
      <w:tr w:rsidR="00D2077C" w:rsidRPr="00D2077C" w14:paraId="6FF56F03" w14:textId="77777777" w:rsidTr="350069B3">
        <w:tc>
          <w:tcPr>
            <w:tcW w:w="825" w:type="dxa"/>
            <w:vAlign w:val="center"/>
            <w:hideMark/>
          </w:tcPr>
          <w:p w14:paraId="0742DCCD" w14:textId="65205EEB" w:rsidR="00D2077C" w:rsidRPr="00D2077C" w:rsidRDefault="00D2077C" w:rsidP="00B11F75">
            <w:pPr>
              <w:rPr>
                <w:rFonts w:ascii="Tahoma" w:hAnsi="Tahoma" w:cs="Tahoma"/>
              </w:rPr>
            </w:pPr>
            <w:r w:rsidRPr="00D2077C">
              <w:rPr>
                <w:rFonts w:ascii="Tahoma" w:hAnsi="Tahoma" w:cs="Tahoma"/>
              </w:rPr>
              <w:t>1</w:t>
            </w:r>
            <w:r w:rsidR="003D42CD">
              <w:rPr>
                <w:rFonts w:ascii="Tahoma" w:hAnsi="Tahoma" w:cs="Tahoma"/>
              </w:rPr>
              <w:t>0</w:t>
            </w:r>
          </w:p>
        </w:tc>
        <w:tc>
          <w:tcPr>
            <w:tcW w:w="2289" w:type="dxa"/>
            <w:vAlign w:val="center"/>
            <w:hideMark/>
          </w:tcPr>
          <w:p w14:paraId="2B1D61FE" w14:textId="77777777" w:rsidR="00D2077C" w:rsidRPr="00D2077C" w:rsidRDefault="00D2077C" w:rsidP="00B11F75">
            <w:pPr>
              <w:rPr>
                <w:rFonts w:ascii="Tahoma" w:hAnsi="Tahoma" w:cs="Tahoma"/>
              </w:rPr>
            </w:pPr>
            <w:r w:rsidRPr="00D2077C">
              <w:rPr>
                <w:rFonts w:ascii="Tahoma" w:hAnsi="Tahoma" w:cs="Tahoma"/>
              </w:rPr>
              <w:t>Dyski (konfiguracja i typ)</w:t>
            </w:r>
          </w:p>
        </w:tc>
        <w:tc>
          <w:tcPr>
            <w:tcW w:w="6520" w:type="dxa"/>
            <w:hideMark/>
          </w:tcPr>
          <w:p w14:paraId="2145059F" w14:textId="77B554C5" w:rsidR="00D2077C" w:rsidRPr="00D2077C" w:rsidRDefault="001C79E0" w:rsidP="0A8052FF">
            <w:pPr>
              <w:spacing w:line="276" w:lineRule="auto"/>
              <w:jc w:val="both"/>
              <w:rPr>
                <w:rFonts w:ascii="Tahoma" w:hAnsi="Tahoma" w:cs="Tahoma"/>
              </w:rPr>
            </w:pPr>
            <w:r w:rsidRPr="0A8052FF">
              <w:rPr>
                <w:rFonts w:ascii="Tahoma" w:hAnsi="Tahoma" w:cs="Tahoma"/>
              </w:rPr>
              <w:t>Serwer musi być wyposażony w dyski w konfiguracji umożliwiającej utworzenie macierzy RAID, obejmującej co najmniej 2 dyski o pojemności minimum 480 GB każdy, przeznaczone do pracy w środowisku serwerowym, z możliwością dalszej rozbudowy zgodnie z architekturą oferowanego modelu.</w:t>
            </w:r>
          </w:p>
        </w:tc>
      </w:tr>
      <w:tr w:rsidR="00D2077C" w:rsidRPr="00D2077C" w14:paraId="57CE7774" w14:textId="77777777" w:rsidTr="350069B3">
        <w:tc>
          <w:tcPr>
            <w:tcW w:w="825" w:type="dxa"/>
            <w:vAlign w:val="center"/>
            <w:hideMark/>
          </w:tcPr>
          <w:p w14:paraId="35B0C685" w14:textId="0EC682ED" w:rsidR="00D2077C" w:rsidRPr="00D2077C" w:rsidRDefault="00D2077C" w:rsidP="00B11F75">
            <w:pPr>
              <w:rPr>
                <w:rFonts w:ascii="Tahoma" w:hAnsi="Tahoma" w:cs="Tahoma"/>
              </w:rPr>
            </w:pPr>
            <w:r w:rsidRPr="00D2077C">
              <w:rPr>
                <w:rFonts w:ascii="Tahoma" w:hAnsi="Tahoma" w:cs="Tahoma"/>
              </w:rPr>
              <w:lastRenderedPageBreak/>
              <w:t>1</w:t>
            </w:r>
            <w:r w:rsidR="003D42CD">
              <w:rPr>
                <w:rFonts w:ascii="Tahoma" w:hAnsi="Tahoma" w:cs="Tahoma"/>
              </w:rPr>
              <w:t>1</w:t>
            </w:r>
          </w:p>
        </w:tc>
        <w:tc>
          <w:tcPr>
            <w:tcW w:w="2289" w:type="dxa"/>
            <w:vAlign w:val="center"/>
            <w:hideMark/>
          </w:tcPr>
          <w:p w14:paraId="59BC9CAE" w14:textId="77777777" w:rsidR="00D2077C" w:rsidRPr="00D2077C" w:rsidRDefault="00D2077C" w:rsidP="00B11F75">
            <w:pPr>
              <w:rPr>
                <w:rFonts w:ascii="Tahoma" w:hAnsi="Tahoma" w:cs="Tahoma"/>
              </w:rPr>
            </w:pPr>
            <w:r w:rsidRPr="00D2077C">
              <w:rPr>
                <w:rFonts w:ascii="Tahoma" w:hAnsi="Tahoma" w:cs="Tahoma"/>
              </w:rPr>
              <w:t>Liczba zatok dyskowych</w:t>
            </w:r>
          </w:p>
        </w:tc>
        <w:tc>
          <w:tcPr>
            <w:tcW w:w="6520" w:type="dxa"/>
            <w:hideMark/>
          </w:tcPr>
          <w:p w14:paraId="33D39A2D" w14:textId="30140B4B" w:rsidR="00D2077C" w:rsidRPr="00D2077C" w:rsidRDefault="001C79E0" w:rsidP="0A8052FF">
            <w:pPr>
              <w:spacing w:line="276" w:lineRule="auto"/>
              <w:jc w:val="both"/>
              <w:rPr>
                <w:rFonts w:ascii="Tahoma" w:hAnsi="Tahoma" w:cs="Tahoma"/>
              </w:rPr>
            </w:pPr>
            <w:r w:rsidRPr="0A8052FF">
              <w:rPr>
                <w:rFonts w:ascii="Tahoma" w:hAnsi="Tahoma" w:cs="Tahoma"/>
              </w:rPr>
              <w:t>Serwer musi być wyposażony w co najmniej 4 zatoki dyskowe typu hot-swap, przystosowane do instalacji dysków w standardzie 2.5” lub 3.5”, zgodnie z architekturą oferowanego modelu, umożliwiające rozbudowę przestrzeni dyskowej bez konieczności wyłączania urządzenia.</w:t>
            </w:r>
          </w:p>
        </w:tc>
      </w:tr>
      <w:tr w:rsidR="00D2077C" w:rsidRPr="00D2077C" w14:paraId="4E7A1DA3" w14:textId="77777777" w:rsidTr="350069B3">
        <w:tc>
          <w:tcPr>
            <w:tcW w:w="825" w:type="dxa"/>
            <w:vAlign w:val="center"/>
            <w:hideMark/>
          </w:tcPr>
          <w:p w14:paraId="26C98571" w14:textId="4B3953F8" w:rsidR="00D2077C" w:rsidRPr="00D2077C" w:rsidRDefault="00D2077C" w:rsidP="00B11F75">
            <w:pPr>
              <w:rPr>
                <w:rFonts w:ascii="Tahoma" w:hAnsi="Tahoma" w:cs="Tahoma"/>
              </w:rPr>
            </w:pPr>
            <w:r w:rsidRPr="00D2077C">
              <w:rPr>
                <w:rFonts w:ascii="Tahoma" w:hAnsi="Tahoma" w:cs="Tahoma"/>
              </w:rPr>
              <w:t>1</w:t>
            </w:r>
            <w:r w:rsidR="003D42CD">
              <w:rPr>
                <w:rFonts w:ascii="Tahoma" w:hAnsi="Tahoma" w:cs="Tahoma"/>
              </w:rPr>
              <w:t>2</w:t>
            </w:r>
          </w:p>
        </w:tc>
        <w:tc>
          <w:tcPr>
            <w:tcW w:w="2289" w:type="dxa"/>
            <w:vAlign w:val="center"/>
            <w:hideMark/>
          </w:tcPr>
          <w:p w14:paraId="1C1113E6" w14:textId="77777777" w:rsidR="00D2077C" w:rsidRPr="00D2077C" w:rsidRDefault="00D2077C" w:rsidP="00B11F75">
            <w:pPr>
              <w:rPr>
                <w:rFonts w:ascii="Tahoma" w:hAnsi="Tahoma" w:cs="Tahoma"/>
              </w:rPr>
            </w:pPr>
            <w:r w:rsidRPr="00D2077C">
              <w:rPr>
                <w:rFonts w:ascii="Tahoma" w:hAnsi="Tahoma" w:cs="Tahoma"/>
              </w:rPr>
              <w:t>Interfejsy sieciowe</w:t>
            </w:r>
          </w:p>
        </w:tc>
        <w:tc>
          <w:tcPr>
            <w:tcW w:w="6520" w:type="dxa"/>
            <w:hideMark/>
          </w:tcPr>
          <w:p w14:paraId="3545D17D" w14:textId="71439FB4" w:rsidR="008F61AB" w:rsidRPr="008F61AB" w:rsidRDefault="008F61AB" w:rsidP="008F61AB">
            <w:pPr>
              <w:spacing w:line="276" w:lineRule="auto"/>
              <w:jc w:val="both"/>
              <w:rPr>
                <w:rFonts w:ascii="Tahoma" w:eastAsia="Tahoma" w:hAnsi="Tahoma" w:cs="Tahoma"/>
              </w:rPr>
            </w:pPr>
            <w:r w:rsidRPr="008F61AB">
              <w:rPr>
                <w:rFonts w:ascii="Tahoma" w:eastAsia="Tahoma" w:hAnsi="Tahoma" w:cs="Tahoma"/>
              </w:rPr>
              <w:t>Serwer musi być wyposażony w interfejsy sieciowe umożliwiające obsługę co najmniej następujących funkcji komunikacyjnych: zarządzania administracyjnego, komunikacji klastra HA, komunikacji usługowej/wirtualizacyjnej, komunikacji z urządzeniem NAS oraz komunikacji z komponentami systemu bezpieczeństwa OT, o ile taka komunikacja wynika z architektury wdrożenia.</w:t>
            </w:r>
          </w:p>
          <w:p w14:paraId="52828B2A" w14:textId="77777777" w:rsidR="008F61AB" w:rsidRPr="008F61AB" w:rsidRDefault="008F61AB" w:rsidP="008F61AB">
            <w:pPr>
              <w:spacing w:line="276" w:lineRule="auto"/>
              <w:jc w:val="both"/>
              <w:rPr>
                <w:rFonts w:ascii="Tahoma" w:eastAsia="Tahoma" w:hAnsi="Tahoma" w:cs="Tahoma"/>
              </w:rPr>
            </w:pPr>
            <w:r w:rsidRPr="008F61AB">
              <w:rPr>
                <w:rFonts w:ascii="Tahoma" w:eastAsia="Tahoma" w:hAnsi="Tahoma" w:cs="Tahoma"/>
              </w:rPr>
              <w:t>Minimalnie każdy serwer musi posiadać co najmniej 2 aktywne porty Ethernet 10 Gb/s, przy czym liczba i rodzaj portów muszą być wystarczające do realizacji architektury wdrożenia. Zamawiający dopuszcza realizację separacji ruchu poprzez fizyczne interfejsy, VLAN, trunking, agregację łączy lub inne mechanizmy zgodne z przyjętą architekturą, pod warunkiem zachowania wymagań bezpieczeństwa, dostępności i wydajności.</w:t>
            </w:r>
          </w:p>
          <w:p w14:paraId="56351BD8" w14:textId="4E926305" w:rsidR="00D2077C" w:rsidRPr="00D2077C" w:rsidRDefault="00CC3373" w:rsidP="350069B3">
            <w:pPr>
              <w:spacing w:line="276" w:lineRule="auto"/>
              <w:jc w:val="both"/>
              <w:rPr>
                <w:rFonts w:ascii="Tahoma" w:hAnsi="Tahoma" w:cs="Tahoma"/>
              </w:rPr>
            </w:pPr>
            <w:r w:rsidRPr="350069B3">
              <w:rPr>
                <w:rFonts w:ascii="Tahoma" w:hAnsi="Tahoma" w:cs="Tahoma"/>
              </w:rPr>
              <w:t>Rozwiązanie musi umożliwiać pracę w środowisku serwerowym oraz współpracę z infrastrukturą sieciową dostarczoną w ramach zamówienia.</w:t>
            </w:r>
            <w:r>
              <w:br/>
            </w:r>
            <w:r w:rsidRPr="350069B3">
              <w:rPr>
                <w:rFonts w:ascii="Tahoma" w:hAnsi="Tahoma" w:cs="Tahoma"/>
              </w:rPr>
              <w:t>Interfejsy sieciowe muszą umożliwiać realizację odrębnych funkcji komunikacyjnych, w szczególności dla ruchu zarządczego, ruchu usługowego/wirtualizacyjnego oraz komunikacji z urządzeniem NAS lub innymi elementami infrastruktury objętej zamówieniem, zgodnie z przyjętą architekturą wdrożenia.</w:t>
            </w:r>
          </w:p>
        </w:tc>
      </w:tr>
      <w:tr w:rsidR="00D2077C" w:rsidRPr="00D2077C" w14:paraId="7B7FC327" w14:textId="77777777" w:rsidTr="350069B3">
        <w:tc>
          <w:tcPr>
            <w:tcW w:w="825" w:type="dxa"/>
            <w:vAlign w:val="center"/>
            <w:hideMark/>
          </w:tcPr>
          <w:p w14:paraId="3DCFCCD5" w14:textId="37D1E79A" w:rsidR="00D2077C" w:rsidRPr="00D2077C" w:rsidRDefault="00D2077C" w:rsidP="00B11F75">
            <w:pPr>
              <w:rPr>
                <w:rFonts w:ascii="Tahoma" w:hAnsi="Tahoma" w:cs="Tahoma"/>
              </w:rPr>
            </w:pPr>
            <w:r w:rsidRPr="00D2077C">
              <w:rPr>
                <w:rFonts w:ascii="Tahoma" w:hAnsi="Tahoma" w:cs="Tahoma"/>
              </w:rPr>
              <w:lastRenderedPageBreak/>
              <w:t>1</w:t>
            </w:r>
            <w:r w:rsidR="003D42CD">
              <w:rPr>
                <w:rFonts w:ascii="Tahoma" w:hAnsi="Tahoma" w:cs="Tahoma"/>
              </w:rPr>
              <w:t>3</w:t>
            </w:r>
          </w:p>
        </w:tc>
        <w:tc>
          <w:tcPr>
            <w:tcW w:w="2289" w:type="dxa"/>
            <w:vAlign w:val="center"/>
            <w:hideMark/>
          </w:tcPr>
          <w:p w14:paraId="67F1E051" w14:textId="77777777" w:rsidR="00D2077C" w:rsidRPr="00D2077C" w:rsidRDefault="00D2077C" w:rsidP="00B11F75">
            <w:pPr>
              <w:rPr>
                <w:rFonts w:ascii="Tahoma" w:hAnsi="Tahoma" w:cs="Tahoma"/>
              </w:rPr>
            </w:pPr>
            <w:r w:rsidRPr="00D2077C">
              <w:rPr>
                <w:rFonts w:ascii="Tahoma" w:hAnsi="Tahoma" w:cs="Tahoma"/>
              </w:rPr>
              <w:t>Możliwość rozbudowy sieci</w:t>
            </w:r>
          </w:p>
        </w:tc>
        <w:tc>
          <w:tcPr>
            <w:tcW w:w="6520" w:type="dxa"/>
            <w:hideMark/>
          </w:tcPr>
          <w:p w14:paraId="20FB097B" w14:textId="77777777" w:rsidR="00D2077C" w:rsidRDefault="00540EA9" w:rsidP="0A8052FF">
            <w:pPr>
              <w:spacing w:line="276" w:lineRule="auto"/>
              <w:jc w:val="both"/>
              <w:rPr>
                <w:rFonts w:ascii="Tahoma" w:hAnsi="Tahoma" w:cs="Tahoma"/>
              </w:rPr>
            </w:pPr>
            <w:r w:rsidRPr="0A8052FF">
              <w:rPr>
                <w:rFonts w:ascii="Tahoma" w:hAnsi="Tahoma" w:cs="Tahoma"/>
              </w:rPr>
              <w:t>Serwer musi umożliwiać rozbudowę funkcji sieciowych poprzez instalację dodatkowych interfejsów komunikacyjnych, w szczególności w zakresie zwiększenia liczby portów lub przepustowości połączeń sieciowych. Rozbudowa nie może wymagać wymiany całego serwera i musi być realizowana z wykorzystaniem rozwiązań przewidzianych przez producenta oferowanej platformy sprzętowej.</w:t>
            </w:r>
          </w:p>
          <w:p w14:paraId="45377491" w14:textId="6C04CE52" w:rsidR="00CC3373" w:rsidRPr="00D2077C" w:rsidRDefault="00CC3373" w:rsidP="0A8052FF">
            <w:pPr>
              <w:spacing w:line="276" w:lineRule="auto"/>
              <w:jc w:val="both"/>
              <w:rPr>
                <w:rFonts w:ascii="Tahoma" w:hAnsi="Tahoma" w:cs="Tahoma"/>
              </w:rPr>
            </w:pPr>
            <w:r w:rsidRPr="0A8052FF">
              <w:rPr>
                <w:rFonts w:ascii="Tahoma" w:hAnsi="Tahoma" w:cs="Tahoma"/>
              </w:rPr>
              <w:t>Rozbudowa musi umożliwiać dostosowanie serwera do współpracy z dodatkowymi segmentami sieci, dodatkowymi przełącznikami, pamięcią sieciową lub komponentami systemów bezpieczeństwa dostarczonych w ramach zamówienia, bez naruszania podstawowej architektury rozwiązania.</w:t>
            </w:r>
          </w:p>
        </w:tc>
      </w:tr>
      <w:tr w:rsidR="00D2077C" w:rsidRPr="00D2077C" w14:paraId="369164BC" w14:textId="77777777" w:rsidTr="350069B3">
        <w:tc>
          <w:tcPr>
            <w:tcW w:w="825" w:type="dxa"/>
            <w:vAlign w:val="center"/>
            <w:hideMark/>
          </w:tcPr>
          <w:p w14:paraId="6F6E9F42" w14:textId="6E470524" w:rsidR="00D2077C" w:rsidRPr="00D2077C" w:rsidRDefault="00D2077C" w:rsidP="00B11F75">
            <w:pPr>
              <w:rPr>
                <w:rFonts w:ascii="Tahoma" w:hAnsi="Tahoma" w:cs="Tahoma"/>
              </w:rPr>
            </w:pPr>
            <w:r w:rsidRPr="00D2077C">
              <w:rPr>
                <w:rFonts w:ascii="Tahoma" w:hAnsi="Tahoma" w:cs="Tahoma"/>
              </w:rPr>
              <w:t>1</w:t>
            </w:r>
            <w:r w:rsidR="003D42CD">
              <w:rPr>
                <w:rFonts w:ascii="Tahoma" w:hAnsi="Tahoma" w:cs="Tahoma"/>
              </w:rPr>
              <w:t>4</w:t>
            </w:r>
          </w:p>
        </w:tc>
        <w:tc>
          <w:tcPr>
            <w:tcW w:w="2289" w:type="dxa"/>
            <w:vAlign w:val="center"/>
            <w:hideMark/>
          </w:tcPr>
          <w:p w14:paraId="01E09CFE" w14:textId="77777777" w:rsidR="00D2077C" w:rsidRPr="00D2077C" w:rsidRDefault="00D2077C" w:rsidP="00B11F75">
            <w:pPr>
              <w:rPr>
                <w:rFonts w:ascii="Tahoma" w:hAnsi="Tahoma" w:cs="Tahoma"/>
              </w:rPr>
            </w:pPr>
            <w:r w:rsidRPr="00D2077C">
              <w:rPr>
                <w:rFonts w:ascii="Tahoma" w:hAnsi="Tahoma" w:cs="Tahoma"/>
              </w:rPr>
              <w:t>Porty I/O</w:t>
            </w:r>
          </w:p>
        </w:tc>
        <w:tc>
          <w:tcPr>
            <w:tcW w:w="6520" w:type="dxa"/>
            <w:hideMark/>
          </w:tcPr>
          <w:p w14:paraId="20F3730C" w14:textId="1F55F633" w:rsidR="00D2077C" w:rsidRPr="00D2077C" w:rsidRDefault="00540EA9" w:rsidP="0A8052FF">
            <w:pPr>
              <w:spacing w:line="276" w:lineRule="auto"/>
              <w:jc w:val="both"/>
              <w:rPr>
                <w:rFonts w:ascii="Tahoma" w:hAnsi="Tahoma" w:cs="Tahoma"/>
              </w:rPr>
            </w:pPr>
            <w:r w:rsidRPr="0A8052FF">
              <w:rPr>
                <w:rFonts w:ascii="Tahoma" w:hAnsi="Tahoma" w:cs="Tahoma"/>
              </w:rPr>
              <w:t>Serwer musi być wyposażony w porty wejścia/wyjścia umożliwiające podłączenie urządzeń peryferyjnych oraz obsługę serwisową, w tym co najmniej: 2 porty USB, 1 port wideo oraz porty wymagane do zarządzania i diagnostyki, zgodnie z architekturą oferowanego modelu.</w:t>
            </w:r>
          </w:p>
        </w:tc>
      </w:tr>
      <w:tr w:rsidR="00D2077C" w:rsidRPr="00D2077C" w14:paraId="3F632EE4" w14:textId="77777777" w:rsidTr="350069B3">
        <w:tc>
          <w:tcPr>
            <w:tcW w:w="825" w:type="dxa"/>
            <w:vAlign w:val="center"/>
            <w:hideMark/>
          </w:tcPr>
          <w:p w14:paraId="02D254D2" w14:textId="690A92FD" w:rsidR="00D2077C" w:rsidRPr="00D2077C" w:rsidRDefault="00D2077C" w:rsidP="00B11F75">
            <w:pPr>
              <w:rPr>
                <w:rFonts w:ascii="Tahoma" w:hAnsi="Tahoma" w:cs="Tahoma"/>
              </w:rPr>
            </w:pPr>
            <w:r w:rsidRPr="00D2077C">
              <w:rPr>
                <w:rFonts w:ascii="Tahoma" w:hAnsi="Tahoma" w:cs="Tahoma"/>
              </w:rPr>
              <w:t>1</w:t>
            </w:r>
            <w:r w:rsidR="003D42CD">
              <w:rPr>
                <w:rFonts w:ascii="Tahoma" w:hAnsi="Tahoma" w:cs="Tahoma"/>
              </w:rPr>
              <w:t>5</w:t>
            </w:r>
          </w:p>
        </w:tc>
        <w:tc>
          <w:tcPr>
            <w:tcW w:w="2289" w:type="dxa"/>
            <w:vAlign w:val="center"/>
            <w:hideMark/>
          </w:tcPr>
          <w:p w14:paraId="5A0CAB91" w14:textId="77777777" w:rsidR="00D2077C" w:rsidRPr="00D2077C" w:rsidRDefault="00D2077C" w:rsidP="00B11F75">
            <w:pPr>
              <w:rPr>
                <w:rFonts w:ascii="Tahoma" w:hAnsi="Tahoma" w:cs="Tahoma"/>
              </w:rPr>
            </w:pPr>
            <w:r w:rsidRPr="00D2077C">
              <w:rPr>
                <w:rFonts w:ascii="Tahoma" w:hAnsi="Tahoma" w:cs="Tahoma"/>
              </w:rPr>
              <w:t>Zarządzanie zdalne</w:t>
            </w:r>
          </w:p>
        </w:tc>
        <w:tc>
          <w:tcPr>
            <w:tcW w:w="6520" w:type="dxa"/>
            <w:hideMark/>
          </w:tcPr>
          <w:p w14:paraId="0CF9E4C6" w14:textId="77777777" w:rsidR="00D2077C" w:rsidRDefault="00540EA9" w:rsidP="0A8052FF">
            <w:pPr>
              <w:spacing w:line="276" w:lineRule="auto"/>
              <w:jc w:val="both"/>
              <w:rPr>
                <w:rFonts w:ascii="Tahoma" w:hAnsi="Tahoma" w:cs="Tahoma"/>
              </w:rPr>
            </w:pPr>
            <w:r w:rsidRPr="0A8052FF">
              <w:rPr>
                <w:rFonts w:ascii="Tahoma" w:hAnsi="Tahoma" w:cs="Tahoma"/>
              </w:rPr>
              <w:t>Serwer musi być wyposażony w dedykowany interfejs do zarządzania zdalnego (out-of-band), niezależny od systemu operacyjnego, umożliwiający co najmniej: zdalny dostęp do konsoli, monitorowanie stanu sprzętu, zarządzanie zasilaniem oraz wykonywanie podstawowych operacji administracyjnych.</w:t>
            </w:r>
          </w:p>
          <w:p w14:paraId="0ABCB02F" w14:textId="77777777" w:rsidR="00CC3373" w:rsidRDefault="00CC3373" w:rsidP="0A8052FF">
            <w:pPr>
              <w:spacing w:line="276" w:lineRule="auto"/>
              <w:jc w:val="both"/>
              <w:rPr>
                <w:rFonts w:ascii="Tahoma" w:hAnsi="Tahoma" w:cs="Tahoma"/>
              </w:rPr>
            </w:pPr>
            <w:r w:rsidRPr="0A8052FF">
              <w:rPr>
                <w:rFonts w:ascii="Tahoma" w:hAnsi="Tahoma" w:cs="Tahoma"/>
              </w:rPr>
              <w:t>Rozwiązanie musi umożliwiać bezpieczną administrację z wykorzystaniem stacji przesiadkowej dostarczanej w ramach zamówienia, przy użyciu mechanizmów dostępu administracyjnego przewidzianych przez producenta.</w:t>
            </w:r>
          </w:p>
          <w:p w14:paraId="331ECB1F" w14:textId="1CD7E73B" w:rsidR="00075E8B" w:rsidRPr="00D2077C" w:rsidRDefault="00075E8B" w:rsidP="0A8052FF">
            <w:pPr>
              <w:spacing w:line="276" w:lineRule="auto"/>
              <w:jc w:val="both"/>
              <w:rPr>
                <w:rFonts w:ascii="Tahoma" w:hAnsi="Tahoma" w:cs="Tahoma"/>
              </w:rPr>
            </w:pPr>
            <w:r w:rsidRPr="0A8052FF">
              <w:rPr>
                <w:rFonts w:ascii="Tahoma" w:hAnsi="Tahoma" w:cs="Tahoma"/>
              </w:rPr>
              <w:t xml:space="preserve">Interfejs zarządzania zdalnego musi umożliwiać realizację połączeń z wykorzystaniem protokołów i mechanizmów </w:t>
            </w:r>
            <w:r w:rsidRPr="0A8052FF">
              <w:rPr>
                <w:rFonts w:ascii="Tahoma" w:hAnsi="Tahoma" w:cs="Tahoma"/>
              </w:rPr>
              <w:lastRenderedPageBreak/>
              <w:t>bezpieczeństwa przewidzianych przez producenta, w szczególności z użyciem szyfrowanej komunikacji i mechanizmów uwierzytelniania dostępu administracyjnego.</w:t>
            </w:r>
          </w:p>
        </w:tc>
      </w:tr>
      <w:tr w:rsidR="00D2077C" w:rsidRPr="00D2077C" w14:paraId="4D0BB005" w14:textId="77777777" w:rsidTr="350069B3">
        <w:tc>
          <w:tcPr>
            <w:tcW w:w="825" w:type="dxa"/>
            <w:vAlign w:val="center"/>
            <w:hideMark/>
          </w:tcPr>
          <w:p w14:paraId="5B0AB75E" w14:textId="40712D90" w:rsidR="00D2077C" w:rsidRPr="00D2077C" w:rsidRDefault="00D2077C" w:rsidP="00B11F75">
            <w:pPr>
              <w:rPr>
                <w:rFonts w:ascii="Tahoma" w:hAnsi="Tahoma" w:cs="Tahoma"/>
              </w:rPr>
            </w:pPr>
            <w:r w:rsidRPr="00D2077C">
              <w:rPr>
                <w:rFonts w:ascii="Tahoma" w:hAnsi="Tahoma" w:cs="Tahoma"/>
              </w:rPr>
              <w:lastRenderedPageBreak/>
              <w:t>1</w:t>
            </w:r>
            <w:r w:rsidR="003D42CD">
              <w:rPr>
                <w:rFonts w:ascii="Tahoma" w:hAnsi="Tahoma" w:cs="Tahoma"/>
              </w:rPr>
              <w:t>6</w:t>
            </w:r>
          </w:p>
        </w:tc>
        <w:tc>
          <w:tcPr>
            <w:tcW w:w="2289" w:type="dxa"/>
            <w:vAlign w:val="center"/>
            <w:hideMark/>
          </w:tcPr>
          <w:p w14:paraId="4529897C" w14:textId="77777777" w:rsidR="00D2077C" w:rsidRPr="00D2077C" w:rsidRDefault="00D2077C" w:rsidP="00B11F75">
            <w:pPr>
              <w:rPr>
                <w:rFonts w:ascii="Tahoma" w:hAnsi="Tahoma" w:cs="Tahoma"/>
              </w:rPr>
            </w:pPr>
            <w:r w:rsidRPr="00D2077C">
              <w:rPr>
                <w:rFonts w:ascii="Tahoma" w:hAnsi="Tahoma" w:cs="Tahoma"/>
              </w:rPr>
              <w:t>Funkcje zarządzania i monitoringu</w:t>
            </w:r>
          </w:p>
        </w:tc>
        <w:tc>
          <w:tcPr>
            <w:tcW w:w="6520" w:type="dxa"/>
            <w:hideMark/>
          </w:tcPr>
          <w:p w14:paraId="658C28F2" w14:textId="368E7948" w:rsidR="00CC3373" w:rsidRPr="00D2077C" w:rsidRDefault="00CC3373" w:rsidP="0A8052FF">
            <w:pPr>
              <w:spacing w:line="276" w:lineRule="auto"/>
              <w:jc w:val="both"/>
              <w:rPr>
                <w:rFonts w:ascii="Tahoma" w:hAnsi="Tahoma" w:cs="Tahoma"/>
              </w:rPr>
            </w:pPr>
            <w:r w:rsidRPr="0A8052FF">
              <w:rPr>
                <w:rFonts w:ascii="Tahoma" w:hAnsi="Tahoma" w:cs="Tahoma"/>
              </w:rPr>
              <w:t>Serwer musi zapewniać funkcje zarządzania i monitoringu umożliwiające co najmniej: bieżące monitorowanie parametrów pracy (temperatura, zasilanie, wentylatory, dyski), rejestrowanie zdarzeń sprzętowych, generowanie alertów oraz integrację z zewnętrznymi systemami zarządzania.</w:t>
            </w:r>
            <w:r>
              <w:br/>
            </w:r>
            <w:r w:rsidRPr="0A8052FF">
              <w:rPr>
                <w:rFonts w:ascii="Tahoma" w:hAnsi="Tahoma" w:cs="Tahoma"/>
              </w:rPr>
              <w:t>Rozwiązanie musi umożliwiać przekazywanie informacji o stanie pracy i zdarzeniach do zewnętrznych systemów monitorowania lub bezpieczeństwa, z wykorzystaniem mechanizmów komunikacji i integracji.</w:t>
            </w:r>
          </w:p>
        </w:tc>
      </w:tr>
      <w:tr w:rsidR="00D2077C" w:rsidRPr="00D2077C" w14:paraId="733A89D0" w14:textId="77777777" w:rsidTr="350069B3">
        <w:tc>
          <w:tcPr>
            <w:tcW w:w="825" w:type="dxa"/>
            <w:vAlign w:val="center"/>
            <w:hideMark/>
          </w:tcPr>
          <w:p w14:paraId="546C7D11" w14:textId="49D6392E" w:rsidR="00D2077C" w:rsidRPr="00D2077C" w:rsidRDefault="00B51707" w:rsidP="00B11F75">
            <w:pPr>
              <w:rPr>
                <w:rFonts w:ascii="Tahoma" w:hAnsi="Tahoma" w:cs="Tahoma"/>
              </w:rPr>
            </w:pPr>
            <w:r>
              <w:rPr>
                <w:rFonts w:ascii="Tahoma" w:hAnsi="Tahoma" w:cs="Tahoma"/>
              </w:rPr>
              <w:t>1</w:t>
            </w:r>
            <w:r w:rsidR="003D42CD">
              <w:rPr>
                <w:rFonts w:ascii="Tahoma" w:hAnsi="Tahoma" w:cs="Tahoma"/>
              </w:rPr>
              <w:t>7</w:t>
            </w:r>
          </w:p>
        </w:tc>
        <w:tc>
          <w:tcPr>
            <w:tcW w:w="2289" w:type="dxa"/>
            <w:vAlign w:val="center"/>
            <w:hideMark/>
          </w:tcPr>
          <w:p w14:paraId="6106D96E" w14:textId="77777777" w:rsidR="00D2077C" w:rsidRPr="00D2077C" w:rsidRDefault="00D2077C" w:rsidP="00B11F75">
            <w:pPr>
              <w:rPr>
                <w:rFonts w:ascii="Tahoma" w:hAnsi="Tahoma" w:cs="Tahoma"/>
              </w:rPr>
            </w:pPr>
            <w:r w:rsidRPr="00D2077C">
              <w:rPr>
                <w:rFonts w:ascii="Tahoma" w:hAnsi="Tahoma" w:cs="Tahoma"/>
              </w:rPr>
              <w:t>Zasilanie i redundancja</w:t>
            </w:r>
          </w:p>
        </w:tc>
        <w:tc>
          <w:tcPr>
            <w:tcW w:w="6520" w:type="dxa"/>
            <w:hideMark/>
          </w:tcPr>
          <w:p w14:paraId="3E0E2443" w14:textId="77777777" w:rsidR="00D2077C" w:rsidRDefault="00540EA9" w:rsidP="0A8052FF">
            <w:pPr>
              <w:spacing w:line="276" w:lineRule="auto"/>
              <w:jc w:val="both"/>
              <w:rPr>
                <w:rFonts w:ascii="Tahoma" w:hAnsi="Tahoma" w:cs="Tahoma"/>
              </w:rPr>
            </w:pPr>
            <w:r w:rsidRPr="0A8052FF">
              <w:rPr>
                <w:rFonts w:ascii="Tahoma" w:hAnsi="Tahoma" w:cs="Tahoma"/>
              </w:rPr>
              <w:t>Serwer musi być wyposażony w zasilanie redundantne, realizowane przez co najmniej 2 zasilacze hot-plug pracujące w układzie nadmiarowym, zapewniające ciągłość pracy urządzenia w przypadku awarii jednego z nich. Zastosowane rozwiązanie musi być zgodne z architekturą oferowanego modelu oraz umożliwiać wymianę uszkodzonego zasilacza bez konieczności wyłączania serwera.</w:t>
            </w:r>
          </w:p>
          <w:p w14:paraId="5ED02C26" w14:textId="379FFF72" w:rsidR="00CC3373" w:rsidRPr="00D2077C" w:rsidRDefault="00CC3373" w:rsidP="0A8052FF">
            <w:pPr>
              <w:spacing w:line="276" w:lineRule="auto"/>
              <w:jc w:val="both"/>
              <w:rPr>
                <w:rFonts w:ascii="Tahoma" w:hAnsi="Tahoma" w:cs="Tahoma"/>
              </w:rPr>
            </w:pPr>
            <w:r w:rsidRPr="0A8052FF">
              <w:rPr>
                <w:rFonts w:ascii="Tahoma" w:hAnsi="Tahoma" w:cs="Tahoma"/>
              </w:rPr>
              <w:t>Zastosowane zasilacze oraz sposób zasilania serwera muszą być kompatybilne z systemem zasilania awaryjnego UPS dostarczanym w ramach zamówienia, w zakresie niezbędnym do zapewnienia bezpiecznej pracy i podtrzymania zasilania.</w:t>
            </w:r>
          </w:p>
        </w:tc>
      </w:tr>
      <w:tr w:rsidR="00D2077C" w:rsidRPr="00D2077C" w14:paraId="2D4F3F26" w14:textId="77777777" w:rsidTr="350069B3">
        <w:tc>
          <w:tcPr>
            <w:tcW w:w="825" w:type="dxa"/>
            <w:vAlign w:val="center"/>
            <w:hideMark/>
          </w:tcPr>
          <w:p w14:paraId="27C5F2DD" w14:textId="33008767" w:rsidR="00D2077C" w:rsidRPr="00D2077C" w:rsidRDefault="003D42CD" w:rsidP="00B11F75">
            <w:pPr>
              <w:rPr>
                <w:rFonts w:ascii="Tahoma" w:hAnsi="Tahoma" w:cs="Tahoma"/>
              </w:rPr>
            </w:pPr>
            <w:r>
              <w:rPr>
                <w:rFonts w:ascii="Tahoma" w:hAnsi="Tahoma" w:cs="Tahoma"/>
              </w:rPr>
              <w:t>18</w:t>
            </w:r>
          </w:p>
        </w:tc>
        <w:tc>
          <w:tcPr>
            <w:tcW w:w="2289" w:type="dxa"/>
            <w:vAlign w:val="center"/>
            <w:hideMark/>
          </w:tcPr>
          <w:p w14:paraId="7002DD53" w14:textId="77777777" w:rsidR="00D2077C" w:rsidRPr="00D2077C" w:rsidRDefault="00D2077C" w:rsidP="00B11F75">
            <w:pPr>
              <w:rPr>
                <w:rFonts w:ascii="Tahoma" w:hAnsi="Tahoma" w:cs="Tahoma"/>
              </w:rPr>
            </w:pPr>
            <w:r w:rsidRPr="00D2077C">
              <w:rPr>
                <w:rFonts w:ascii="Tahoma" w:hAnsi="Tahoma" w:cs="Tahoma"/>
              </w:rPr>
              <w:t>System chłodzenia</w:t>
            </w:r>
          </w:p>
        </w:tc>
        <w:tc>
          <w:tcPr>
            <w:tcW w:w="6520" w:type="dxa"/>
            <w:hideMark/>
          </w:tcPr>
          <w:p w14:paraId="38F1BF93" w14:textId="5E18C6A0" w:rsidR="00D2077C" w:rsidRPr="00D2077C" w:rsidRDefault="00540EA9" w:rsidP="0A8052FF">
            <w:pPr>
              <w:spacing w:line="276" w:lineRule="auto"/>
              <w:jc w:val="both"/>
              <w:rPr>
                <w:rFonts w:ascii="Tahoma" w:hAnsi="Tahoma" w:cs="Tahoma"/>
              </w:rPr>
            </w:pPr>
            <w:r w:rsidRPr="0A8052FF">
              <w:rPr>
                <w:rFonts w:ascii="Tahoma" w:hAnsi="Tahoma" w:cs="Tahoma"/>
              </w:rPr>
              <w:t>Serwer musi być wyposażony w system chłodzenia przystosowany do pracy ciągłej w środowisku serwerowym.</w:t>
            </w:r>
          </w:p>
        </w:tc>
      </w:tr>
      <w:tr w:rsidR="00D2077C" w:rsidRPr="00D2077C" w14:paraId="3686C239" w14:textId="77777777" w:rsidTr="350069B3">
        <w:tc>
          <w:tcPr>
            <w:tcW w:w="825" w:type="dxa"/>
            <w:vAlign w:val="center"/>
            <w:hideMark/>
          </w:tcPr>
          <w:p w14:paraId="543658FD" w14:textId="1F214921" w:rsidR="00D2077C" w:rsidRPr="00D2077C" w:rsidRDefault="003D42CD" w:rsidP="00B11F75">
            <w:pPr>
              <w:rPr>
                <w:rFonts w:ascii="Tahoma" w:hAnsi="Tahoma" w:cs="Tahoma"/>
              </w:rPr>
            </w:pPr>
            <w:r>
              <w:rPr>
                <w:rFonts w:ascii="Tahoma" w:hAnsi="Tahoma" w:cs="Tahoma"/>
              </w:rPr>
              <w:lastRenderedPageBreak/>
              <w:t>19</w:t>
            </w:r>
          </w:p>
        </w:tc>
        <w:tc>
          <w:tcPr>
            <w:tcW w:w="2289" w:type="dxa"/>
            <w:vAlign w:val="center"/>
            <w:hideMark/>
          </w:tcPr>
          <w:p w14:paraId="4400C6FD" w14:textId="77777777" w:rsidR="00D2077C" w:rsidRPr="00D2077C" w:rsidRDefault="00D2077C" w:rsidP="00B11F75">
            <w:pPr>
              <w:rPr>
                <w:rFonts w:ascii="Tahoma" w:hAnsi="Tahoma" w:cs="Tahoma"/>
              </w:rPr>
            </w:pPr>
            <w:r w:rsidRPr="00D2077C">
              <w:rPr>
                <w:rFonts w:ascii="Tahoma" w:hAnsi="Tahoma" w:cs="Tahoma"/>
              </w:rPr>
              <w:t>Obsługiwane systemy / wirtualizacja</w:t>
            </w:r>
          </w:p>
        </w:tc>
        <w:tc>
          <w:tcPr>
            <w:tcW w:w="6520" w:type="dxa"/>
            <w:hideMark/>
          </w:tcPr>
          <w:p w14:paraId="3C1C88E4" w14:textId="77777777" w:rsidR="00D2077C" w:rsidRDefault="004C51B1" w:rsidP="0A8052FF">
            <w:pPr>
              <w:spacing w:line="276" w:lineRule="auto"/>
              <w:jc w:val="both"/>
              <w:rPr>
                <w:rFonts w:ascii="Tahoma" w:hAnsi="Tahoma" w:cs="Tahoma"/>
              </w:rPr>
            </w:pPr>
            <w:r w:rsidRPr="0A8052FF">
              <w:rPr>
                <w:rFonts w:ascii="Tahoma" w:hAnsi="Tahoma" w:cs="Tahoma"/>
              </w:rPr>
              <w:t>Serwer musi wspierać instalację i eksploatację systemów operacyjnych oraz środowisk wirtualizacyjnych przeznaczonych do zastosowań serwerowych. Oferowana platforma sprzętowa musi umożliwiać uruchamianie maszyn wirtualnych oraz współpracę z dostarczanym w ramach zamówienia systemem bezpieczeństwa, jeżeli do prawidłowego działania tego systemu wymagane będzie środowisko wirtualne.</w:t>
            </w:r>
          </w:p>
          <w:p w14:paraId="6CDEB305" w14:textId="19A13E9F" w:rsidR="00CC3373" w:rsidRPr="00D2077C" w:rsidRDefault="00CC3373" w:rsidP="0A8052FF">
            <w:pPr>
              <w:spacing w:line="276" w:lineRule="auto"/>
              <w:jc w:val="both"/>
              <w:rPr>
                <w:rFonts w:ascii="Tahoma" w:hAnsi="Tahoma" w:cs="Tahoma"/>
              </w:rPr>
            </w:pPr>
            <w:r w:rsidRPr="0A8052FF">
              <w:rPr>
                <w:rFonts w:ascii="Tahoma" w:hAnsi="Tahoma" w:cs="Tahoma"/>
              </w:rPr>
              <w:t>Rozwiązanie musi umożliwiać uruchomienie lub współpracę z komponentami zarządzającymi, analitycznymi, rejestrującymi lub pomocniczymi dla systemu IDS/IPS OT, sprzętowych sond monitorowania OT oraz repozytorium danych NAS, zgodnie z projektem wdrożenia komponenty te będą wymagały zasobów serwerowych lub środowiska wirtualnego.</w:t>
            </w:r>
          </w:p>
        </w:tc>
      </w:tr>
      <w:tr w:rsidR="00CC3373" w:rsidRPr="00D2077C" w14:paraId="5519CE9B" w14:textId="77777777" w:rsidTr="350069B3">
        <w:tc>
          <w:tcPr>
            <w:tcW w:w="825" w:type="dxa"/>
            <w:vAlign w:val="center"/>
          </w:tcPr>
          <w:p w14:paraId="662C2EC4" w14:textId="0F178ED7" w:rsidR="00CC3373" w:rsidRPr="00D2077C" w:rsidRDefault="00CC3373" w:rsidP="00B11F75">
            <w:pPr>
              <w:rPr>
                <w:rFonts w:ascii="Tahoma" w:hAnsi="Tahoma" w:cs="Tahoma"/>
              </w:rPr>
            </w:pPr>
            <w:r>
              <w:rPr>
                <w:rFonts w:ascii="Tahoma" w:hAnsi="Tahoma" w:cs="Tahoma"/>
              </w:rPr>
              <w:t>2</w:t>
            </w:r>
            <w:r w:rsidR="003D42CD">
              <w:rPr>
                <w:rFonts w:ascii="Tahoma" w:hAnsi="Tahoma" w:cs="Tahoma"/>
              </w:rPr>
              <w:t>0</w:t>
            </w:r>
          </w:p>
        </w:tc>
        <w:tc>
          <w:tcPr>
            <w:tcW w:w="2289" w:type="dxa"/>
            <w:vAlign w:val="center"/>
          </w:tcPr>
          <w:p w14:paraId="480B0F30" w14:textId="08BDC509" w:rsidR="00CC3373" w:rsidRPr="00D2077C" w:rsidRDefault="00CC3373" w:rsidP="00B11F75">
            <w:pPr>
              <w:rPr>
                <w:rFonts w:ascii="Tahoma" w:hAnsi="Tahoma" w:cs="Tahoma"/>
              </w:rPr>
            </w:pPr>
            <w:r w:rsidRPr="00CC3373">
              <w:rPr>
                <w:rFonts w:ascii="Tahoma" w:hAnsi="Tahoma" w:cs="Tahoma"/>
              </w:rPr>
              <w:t>Kompatybilność z pozostałymi elementami zamówienia</w:t>
            </w:r>
          </w:p>
        </w:tc>
        <w:tc>
          <w:tcPr>
            <w:tcW w:w="6520" w:type="dxa"/>
          </w:tcPr>
          <w:p w14:paraId="6B52732F" w14:textId="7175E622" w:rsidR="008F61AB" w:rsidRPr="008F61AB" w:rsidRDefault="008F61AB" w:rsidP="0A8052FF">
            <w:pPr>
              <w:spacing w:line="276" w:lineRule="auto"/>
              <w:jc w:val="both"/>
              <w:rPr>
                <w:rFonts w:ascii="Tahoma" w:hAnsi="Tahoma" w:cs="Tahoma"/>
              </w:rPr>
            </w:pPr>
            <w:r w:rsidRPr="008F61AB">
              <w:rPr>
                <w:rFonts w:ascii="Tahoma" w:hAnsi="Tahoma" w:cs="Tahoma"/>
              </w:rPr>
              <w:t>Oferowane serwery muszą być kompatybilne z pozostałymi elementami infrastruktury dostarczanymi w ramach tego samego zamówienia, w szczególności z urządzeniem NAS, systemem bezpieczeństwa OT IDS/IPS, sprzętowymi sondami monitorowania OT, stacją przesiadkową, przełącznikami sieciowymi, urządzeniem NGFW dla sieci OT, zasilaniem awaryjnym UPS oraz, w zakresie niezbędnym do ich wspólnego uruchomienia, konfiguracji, administrowania i eksploatacji.</w:t>
            </w:r>
          </w:p>
        </w:tc>
      </w:tr>
      <w:tr w:rsidR="00D2077C" w:rsidRPr="00D2077C" w14:paraId="14AC051C" w14:textId="77777777" w:rsidTr="350069B3">
        <w:tc>
          <w:tcPr>
            <w:tcW w:w="825" w:type="dxa"/>
            <w:vAlign w:val="center"/>
            <w:hideMark/>
          </w:tcPr>
          <w:p w14:paraId="6AD5E4D6" w14:textId="5343B2F7" w:rsidR="00D2077C" w:rsidRPr="00D2077C" w:rsidRDefault="00D2077C" w:rsidP="00B11F75">
            <w:pPr>
              <w:rPr>
                <w:rFonts w:ascii="Tahoma" w:hAnsi="Tahoma" w:cs="Tahoma"/>
              </w:rPr>
            </w:pPr>
            <w:r w:rsidRPr="00D2077C">
              <w:rPr>
                <w:rFonts w:ascii="Tahoma" w:hAnsi="Tahoma" w:cs="Tahoma"/>
              </w:rPr>
              <w:t>2</w:t>
            </w:r>
            <w:r w:rsidR="003D42CD">
              <w:rPr>
                <w:rFonts w:ascii="Tahoma" w:hAnsi="Tahoma" w:cs="Tahoma"/>
              </w:rPr>
              <w:t>1</w:t>
            </w:r>
          </w:p>
        </w:tc>
        <w:tc>
          <w:tcPr>
            <w:tcW w:w="2289" w:type="dxa"/>
            <w:vAlign w:val="center"/>
            <w:hideMark/>
          </w:tcPr>
          <w:p w14:paraId="2AB8E7AB" w14:textId="77777777" w:rsidR="00D2077C" w:rsidRPr="00D2077C" w:rsidRDefault="00D2077C" w:rsidP="00B11F75">
            <w:pPr>
              <w:rPr>
                <w:rFonts w:ascii="Tahoma" w:hAnsi="Tahoma" w:cs="Tahoma"/>
              </w:rPr>
            </w:pPr>
            <w:r w:rsidRPr="00D2077C">
              <w:rPr>
                <w:rFonts w:ascii="Tahoma" w:hAnsi="Tahoma" w:cs="Tahoma"/>
              </w:rPr>
              <w:t>Bezpieczeństwo sprzętowe</w:t>
            </w:r>
          </w:p>
        </w:tc>
        <w:tc>
          <w:tcPr>
            <w:tcW w:w="6520" w:type="dxa"/>
            <w:hideMark/>
          </w:tcPr>
          <w:p w14:paraId="129C63C4" w14:textId="1A54ED38" w:rsidR="00D2077C" w:rsidRPr="00D2077C" w:rsidRDefault="004C51B1" w:rsidP="0A8052FF">
            <w:pPr>
              <w:spacing w:line="276" w:lineRule="auto"/>
              <w:jc w:val="both"/>
              <w:rPr>
                <w:rFonts w:ascii="Tahoma" w:hAnsi="Tahoma" w:cs="Tahoma"/>
              </w:rPr>
            </w:pPr>
            <w:r w:rsidRPr="350069B3">
              <w:rPr>
                <w:rFonts w:ascii="Tahoma" w:hAnsi="Tahoma" w:cs="Tahoma"/>
              </w:rPr>
              <w:t>Serwer musi być wyposażony w mechanizmy bezpieczeństwa sprzętowego wspierające ochronę integralności uruchamiania oraz tożsamości platformy, w tym co najmniej moduł TPM w wersji 2</w:t>
            </w:r>
            <w:r w:rsidR="4B2AB055" w:rsidRPr="350069B3">
              <w:rPr>
                <w:rFonts w:ascii="Tahoma" w:hAnsi="Tahoma" w:cs="Tahoma"/>
              </w:rPr>
              <w:t>.0</w:t>
            </w:r>
            <w:r w:rsidRPr="350069B3">
              <w:rPr>
                <w:rFonts w:ascii="Tahoma" w:hAnsi="Tahoma" w:cs="Tahoma"/>
              </w:rPr>
              <w:t>. Rozwiązanie musi umożliwiać stosowanie zabezpieczeń wymaganych dla środowisk serwerowych i wirtualizacyjnych.</w:t>
            </w:r>
          </w:p>
        </w:tc>
      </w:tr>
      <w:tr w:rsidR="00D2077C" w:rsidRPr="00D2077C" w14:paraId="0119E653" w14:textId="77777777" w:rsidTr="350069B3">
        <w:tc>
          <w:tcPr>
            <w:tcW w:w="825" w:type="dxa"/>
            <w:vAlign w:val="center"/>
            <w:hideMark/>
          </w:tcPr>
          <w:p w14:paraId="264CD1C6" w14:textId="0E03022B" w:rsidR="00D2077C" w:rsidRPr="00D2077C" w:rsidRDefault="00D2077C" w:rsidP="00B11F75">
            <w:pPr>
              <w:rPr>
                <w:rFonts w:ascii="Tahoma" w:hAnsi="Tahoma" w:cs="Tahoma"/>
              </w:rPr>
            </w:pPr>
            <w:r w:rsidRPr="00D2077C">
              <w:rPr>
                <w:rFonts w:ascii="Tahoma" w:hAnsi="Tahoma" w:cs="Tahoma"/>
              </w:rPr>
              <w:lastRenderedPageBreak/>
              <w:t>2</w:t>
            </w:r>
            <w:r w:rsidR="003D42CD">
              <w:rPr>
                <w:rFonts w:ascii="Tahoma" w:hAnsi="Tahoma" w:cs="Tahoma"/>
              </w:rPr>
              <w:t>2</w:t>
            </w:r>
          </w:p>
        </w:tc>
        <w:tc>
          <w:tcPr>
            <w:tcW w:w="2289" w:type="dxa"/>
            <w:vAlign w:val="center"/>
            <w:hideMark/>
          </w:tcPr>
          <w:p w14:paraId="6C186128" w14:textId="19C50F80" w:rsidR="00D2077C" w:rsidRPr="00D2077C" w:rsidRDefault="00D2077C" w:rsidP="00B11F75">
            <w:pPr>
              <w:rPr>
                <w:rFonts w:ascii="Tahoma" w:hAnsi="Tahoma" w:cs="Tahoma"/>
              </w:rPr>
            </w:pPr>
            <w:r w:rsidRPr="00D2077C">
              <w:rPr>
                <w:rFonts w:ascii="Tahoma" w:hAnsi="Tahoma" w:cs="Tahoma"/>
              </w:rPr>
              <w:t xml:space="preserve">Gwarancja </w:t>
            </w:r>
          </w:p>
        </w:tc>
        <w:tc>
          <w:tcPr>
            <w:tcW w:w="6520" w:type="dxa"/>
            <w:hideMark/>
          </w:tcPr>
          <w:p w14:paraId="6A85CDB7" w14:textId="07D78C27" w:rsidR="00D93BDC" w:rsidRDefault="00D93BDC" w:rsidP="0A8052FF">
            <w:pPr>
              <w:spacing w:line="276" w:lineRule="auto"/>
              <w:jc w:val="both"/>
              <w:rPr>
                <w:rFonts w:ascii="Tahoma" w:hAnsi="Tahoma" w:cs="Tahoma"/>
              </w:rPr>
            </w:pPr>
            <w:r w:rsidRPr="00D93BDC">
              <w:rPr>
                <w:rFonts w:ascii="Tahoma" w:hAnsi="Tahoma" w:cs="Tahoma"/>
              </w:rPr>
              <w:t xml:space="preserve">Serwer musi być objęty gwarancją jakości przez okres 36 miesięcy, liczony od dnia podpisania protokołu odbioru końcowego. Gwarancja musi obejmować wszystkie elementy sprzętowe serwera dostarczone w ramach zamówienia i być realizowana w miejscu instalacji urządzenia. </w:t>
            </w:r>
          </w:p>
          <w:p w14:paraId="5795B8A0" w14:textId="77777777" w:rsidR="00D93BDC" w:rsidRDefault="00D93BDC" w:rsidP="0A8052FF">
            <w:pPr>
              <w:spacing w:line="276" w:lineRule="auto"/>
              <w:jc w:val="both"/>
              <w:rPr>
                <w:rFonts w:ascii="Tahoma" w:hAnsi="Tahoma" w:cs="Tahoma"/>
              </w:rPr>
            </w:pPr>
            <w:r w:rsidRPr="00D93BDC">
              <w:rPr>
                <w:rFonts w:ascii="Tahoma" w:hAnsi="Tahoma" w:cs="Tahoma"/>
              </w:rPr>
              <w:t xml:space="preserve">W okresie gwarancji Wykonawca lub producent musi zapewnić przyjmowanie zgłoszeń serwisowych co najmniej w dni robocze, w godzinach pracy Zamawiającego, tj. od 7:00 do 15:00, za pośrednictwem poczty elektronicznej lub dedykowanego systemu zgłoszeniowego. Zamawiający dopuszcza wstępną diagnostykę zdalną, a w razie potrzeby wymaga interwencji serwisowej w miejscu instalacji urządzenia. </w:t>
            </w:r>
          </w:p>
          <w:p w14:paraId="7E543FA0" w14:textId="25D8AB37" w:rsidR="00D2077C" w:rsidRPr="00D2077C" w:rsidRDefault="00D93BDC" w:rsidP="0A8052FF">
            <w:pPr>
              <w:spacing w:line="276" w:lineRule="auto"/>
              <w:jc w:val="both"/>
              <w:rPr>
                <w:rFonts w:ascii="Tahoma" w:hAnsi="Tahoma" w:cs="Tahoma"/>
              </w:rPr>
            </w:pPr>
            <w:r w:rsidRPr="00D93BDC">
              <w:rPr>
                <w:rFonts w:ascii="Tahoma" w:hAnsi="Tahoma" w:cs="Tahoma"/>
              </w:rPr>
              <w:t>Czas reakcji serwisu nie może być dłuższy niż następny dzień roboczy od dnia przyjęcia zgłoszenia. Wszystkie koszty realizacji gwarancji, w tym diagnostyki, robocizny, dojazdu, transportu oraz części zamiennych, muszą być wliczone w cenę oferty.</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4A5B" w14:textId="77777777" w:rsidR="00A4586D" w:rsidRDefault="00A4586D">
      <w:r>
        <w:separator/>
      </w:r>
    </w:p>
  </w:endnote>
  <w:endnote w:type="continuationSeparator" w:id="0">
    <w:p w14:paraId="58C4C45D" w14:textId="77777777" w:rsidR="00A4586D" w:rsidRDefault="00A4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2CA5" w14:textId="77777777" w:rsidR="00A4586D" w:rsidRDefault="00A4586D">
      <w:r>
        <w:separator/>
      </w:r>
    </w:p>
  </w:footnote>
  <w:footnote w:type="continuationSeparator" w:id="0">
    <w:p w14:paraId="1EB20F10" w14:textId="77777777" w:rsidR="00A4586D" w:rsidRDefault="00A4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9D9731"/>
    <w:multiLevelType w:val="hybridMultilevel"/>
    <w:tmpl w:val="B2A88AE2"/>
    <w:lvl w:ilvl="0" w:tplc="89F883C6">
      <w:start w:val="1"/>
      <w:numFmt w:val="decimal"/>
      <w:lvlText w:val="%1."/>
      <w:lvlJc w:val="left"/>
      <w:pPr>
        <w:ind w:left="720" w:hanging="360"/>
      </w:pPr>
    </w:lvl>
    <w:lvl w:ilvl="1" w:tplc="A816FF76">
      <w:start w:val="1"/>
      <w:numFmt w:val="lowerLetter"/>
      <w:lvlText w:val="%2."/>
      <w:lvlJc w:val="left"/>
      <w:pPr>
        <w:ind w:left="1440" w:hanging="360"/>
      </w:pPr>
    </w:lvl>
    <w:lvl w:ilvl="2" w:tplc="EBE8C1DE">
      <w:start w:val="1"/>
      <w:numFmt w:val="lowerRoman"/>
      <w:lvlText w:val="%3."/>
      <w:lvlJc w:val="right"/>
      <w:pPr>
        <w:ind w:left="2160" w:hanging="180"/>
      </w:pPr>
    </w:lvl>
    <w:lvl w:ilvl="3" w:tplc="EAA44198">
      <w:start w:val="1"/>
      <w:numFmt w:val="decimal"/>
      <w:lvlText w:val="%4."/>
      <w:lvlJc w:val="left"/>
      <w:pPr>
        <w:ind w:left="2880" w:hanging="360"/>
      </w:pPr>
    </w:lvl>
    <w:lvl w:ilvl="4" w:tplc="DF5C4E46">
      <w:start w:val="1"/>
      <w:numFmt w:val="lowerLetter"/>
      <w:lvlText w:val="%5."/>
      <w:lvlJc w:val="left"/>
      <w:pPr>
        <w:ind w:left="3600" w:hanging="360"/>
      </w:pPr>
    </w:lvl>
    <w:lvl w:ilvl="5" w:tplc="45FEADE2">
      <w:start w:val="1"/>
      <w:numFmt w:val="lowerRoman"/>
      <w:lvlText w:val="%6."/>
      <w:lvlJc w:val="right"/>
      <w:pPr>
        <w:ind w:left="4320" w:hanging="180"/>
      </w:pPr>
    </w:lvl>
    <w:lvl w:ilvl="6" w:tplc="486A9FB8">
      <w:start w:val="1"/>
      <w:numFmt w:val="decimal"/>
      <w:lvlText w:val="%7."/>
      <w:lvlJc w:val="left"/>
      <w:pPr>
        <w:ind w:left="5040" w:hanging="360"/>
      </w:pPr>
    </w:lvl>
    <w:lvl w:ilvl="7" w:tplc="EA241810">
      <w:start w:val="1"/>
      <w:numFmt w:val="lowerLetter"/>
      <w:lvlText w:val="%8."/>
      <w:lvlJc w:val="left"/>
      <w:pPr>
        <w:ind w:left="5760" w:hanging="360"/>
      </w:pPr>
    </w:lvl>
    <w:lvl w:ilvl="8" w:tplc="A264493E">
      <w:start w:val="1"/>
      <w:numFmt w:val="lowerRoman"/>
      <w:lvlText w:val="%9."/>
      <w:lvlJc w:val="right"/>
      <w:pPr>
        <w:ind w:left="6480" w:hanging="180"/>
      </w:pPr>
    </w:lvl>
  </w:abstractNum>
  <w:abstractNum w:abstractNumId="14"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9521607">
    <w:abstractNumId w:val="13"/>
  </w:num>
  <w:num w:numId="2"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3521561">
    <w:abstractNumId w:val="9"/>
  </w:num>
  <w:num w:numId="5" w16cid:durableId="907615826">
    <w:abstractNumId w:val="6"/>
  </w:num>
  <w:num w:numId="6" w16cid:durableId="397635744">
    <w:abstractNumId w:val="16"/>
  </w:num>
  <w:num w:numId="7" w16cid:durableId="1648318210">
    <w:abstractNumId w:val="14"/>
  </w:num>
  <w:num w:numId="8" w16cid:durableId="331833269">
    <w:abstractNumId w:val="15"/>
  </w:num>
  <w:num w:numId="9" w16cid:durableId="162362834">
    <w:abstractNumId w:val="0"/>
  </w:num>
  <w:num w:numId="10" w16cid:durableId="493955748">
    <w:abstractNumId w:val="1"/>
  </w:num>
  <w:num w:numId="11" w16cid:durableId="1613436086">
    <w:abstractNumId w:val="12"/>
  </w:num>
  <w:num w:numId="12" w16cid:durableId="7873616">
    <w:abstractNumId w:val="8"/>
  </w:num>
  <w:num w:numId="13" w16cid:durableId="1726102718">
    <w:abstractNumId w:val="17"/>
  </w:num>
  <w:num w:numId="14" w16cid:durableId="333580693">
    <w:abstractNumId w:val="11"/>
  </w:num>
  <w:num w:numId="15" w16cid:durableId="1335911795">
    <w:abstractNumId w:val="7"/>
  </w:num>
  <w:num w:numId="16" w16cid:durableId="736320308">
    <w:abstractNumId w:val="5"/>
  </w:num>
  <w:num w:numId="17" w16cid:durableId="1160580737">
    <w:abstractNumId w:val="4"/>
  </w:num>
  <w:num w:numId="18"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65C40"/>
    <w:rsid w:val="00075E8B"/>
    <w:rsid w:val="00094EF6"/>
    <w:rsid w:val="000A73E2"/>
    <w:rsid w:val="000C84AD"/>
    <w:rsid w:val="000E21EF"/>
    <w:rsid w:val="000E31A9"/>
    <w:rsid w:val="000E369C"/>
    <w:rsid w:val="000E45A5"/>
    <w:rsid w:val="0010162A"/>
    <w:rsid w:val="001561C5"/>
    <w:rsid w:val="00180C3B"/>
    <w:rsid w:val="001C79E0"/>
    <w:rsid w:val="00200170"/>
    <w:rsid w:val="00214307"/>
    <w:rsid w:val="002571F6"/>
    <w:rsid w:val="00262901"/>
    <w:rsid w:val="002B08FC"/>
    <w:rsid w:val="002B40F4"/>
    <w:rsid w:val="002D66BB"/>
    <w:rsid w:val="002E6BDD"/>
    <w:rsid w:val="002F66E8"/>
    <w:rsid w:val="00310274"/>
    <w:rsid w:val="00313381"/>
    <w:rsid w:val="003134FE"/>
    <w:rsid w:val="003165EB"/>
    <w:rsid w:val="0032350E"/>
    <w:rsid w:val="0036322B"/>
    <w:rsid w:val="003816DA"/>
    <w:rsid w:val="00382CBC"/>
    <w:rsid w:val="00385FFB"/>
    <w:rsid w:val="003D2E20"/>
    <w:rsid w:val="003D42CD"/>
    <w:rsid w:val="003D644F"/>
    <w:rsid w:val="00412555"/>
    <w:rsid w:val="0042606F"/>
    <w:rsid w:val="00482EA3"/>
    <w:rsid w:val="004844AD"/>
    <w:rsid w:val="004C51B1"/>
    <w:rsid w:val="004E62F6"/>
    <w:rsid w:val="005115C2"/>
    <w:rsid w:val="00540EA9"/>
    <w:rsid w:val="0058722E"/>
    <w:rsid w:val="005A056A"/>
    <w:rsid w:val="005B7917"/>
    <w:rsid w:val="005E22E2"/>
    <w:rsid w:val="00670180"/>
    <w:rsid w:val="006760F1"/>
    <w:rsid w:val="006A37FF"/>
    <w:rsid w:val="006D19B4"/>
    <w:rsid w:val="006E040C"/>
    <w:rsid w:val="007021C9"/>
    <w:rsid w:val="007077F2"/>
    <w:rsid w:val="00735813"/>
    <w:rsid w:val="00760990"/>
    <w:rsid w:val="00761B48"/>
    <w:rsid w:val="00780D75"/>
    <w:rsid w:val="00840D2D"/>
    <w:rsid w:val="00863D3F"/>
    <w:rsid w:val="0088784C"/>
    <w:rsid w:val="008B2E44"/>
    <w:rsid w:val="008C4DE6"/>
    <w:rsid w:val="008D7C6A"/>
    <w:rsid w:val="008F56B8"/>
    <w:rsid w:val="008F61AB"/>
    <w:rsid w:val="00924460"/>
    <w:rsid w:val="00927BE0"/>
    <w:rsid w:val="009823C9"/>
    <w:rsid w:val="009A5797"/>
    <w:rsid w:val="009B56F9"/>
    <w:rsid w:val="009B7B29"/>
    <w:rsid w:val="00A044EF"/>
    <w:rsid w:val="00A228FA"/>
    <w:rsid w:val="00A25198"/>
    <w:rsid w:val="00A27692"/>
    <w:rsid w:val="00A32D5A"/>
    <w:rsid w:val="00A34049"/>
    <w:rsid w:val="00A40375"/>
    <w:rsid w:val="00A42564"/>
    <w:rsid w:val="00A4586D"/>
    <w:rsid w:val="00A834F4"/>
    <w:rsid w:val="00A8394D"/>
    <w:rsid w:val="00A955D5"/>
    <w:rsid w:val="00A97B93"/>
    <w:rsid w:val="00AD274B"/>
    <w:rsid w:val="00AE404F"/>
    <w:rsid w:val="00AF3CB9"/>
    <w:rsid w:val="00AF4EB4"/>
    <w:rsid w:val="00B02C1C"/>
    <w:rsid w:val="00B066B2"/>
    <w:rsid w:val="00B11F75"/>
    <w:rsid w:val="00B371AE"/>
    <w:rsid w:val="00B37C91"/>
    <w:rsid w:val="00B429CA"/>
    <w:rsid w:val="00B51707"/>
    <w:rsid w:val="00B546E9"/>
    <w:rsid w:val="00B615FE"/>
    <w:rsid w:val="00B619ED"/>
    <w:rsid w:val="00B673BB"/>
    <w:rsid w:val="00B82EF6"/>
    <w:rsid w:val="00B87AED"/>
    <w:rsid w:val="00BC79CC"/>
    <w:rsid w:val="00C029AA"/>
    <w:rsid w:val="00C06AC7"/>
    <w:rsid w:val="00C0733F"/>
    <w:rsid w:val="00C13123"/>
    <w:rsid w:val="00C14A13"/>
    <w:rsid w:val="00C24F21"/>
    <w:rsid w:val="00C3461A"/>
    <w:rsid w:val="00C41A18"/>
    <w:rsid w:val="00C6529D"/>
    <w:rsid w:val="00C661AB"/>
    <w:rsid w:val="00C965EE"/>
    <w:rsid w:val="00CA4211"/>
    <w:rsid w:val="00CA518A"/>
    <w:rsid w:val="00CB53C1"/>
    <w:rsid w:val="00CC3373"/>
    <w:rsid w:val="00CC431D"/>
    <w:rsid w:val="00CC4AE8"/>
    <w:rsid w:val="00CF1AB9"/>
    <w:rsid w:val="00D2077C"/>
    <w:rsid w:val="00D41B7F"/>
    <w:rsid w:val="00D93BDC"/>
    <w:rsid w:val="00DC0C56"/>
    <w:rsid w:val="00DD59C4"/>
    <w:rsid w:val="00E1663C"/>
    <w:rsid w:val="00E66751"/>
    <w:rsid w:val="00E81AAD"/>
    <w:rsid w:val="00E82DDD"/>
    <w:rsid w:val="00EA5546"/>
    <w:rsid w:val="00EA6FC4"/>
    <w:rsid w:val="00EB7791"/>
    <w:rsid w:val="00EE312E"/>
    <w:rsid w:val="00F6134F"/>
    <w:rsid w:val="00F753C2"/>
    <w:rsid w:val="00F8620F"/>
    <w:rsid w:val="00FE3AD8"/>
    <w:rsid w:val="00FF5508"/>
    <w:rsid w:val="0A2CB6B1"/>
    <w:rsid w:val="0A8052FF"/>
    <w:rsid w:val="0C0B67D8"/>
    <w:rsid w:val="1AC2D98B"/>
    <w:rsid w:val="1EFAD5DC"/>
    <w:rsid w:val="1FE7A7C5"/>
    <w:rsid w:val="28F1233D"/>
    <w:rsid w:val="2FB674B6"/>
    <w:rsid w:val="305E7565"/>
    <w:rsid w:val="350069B3"/>
    <w:rsid w:val="42D65683"/>
    <w:rsid w:val="4B2AB055"/>
    <w:rsid w:val="664AE2BF"/>
    <w:rsid w:val="7D261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382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2090</Words>
  <Characters>11038</Characters>
  <Application>Microsoft Office Word</Application>
  <DocSecurity>0</DocSecurity>
  <Lines>1103</Lines>
  <Paragraphs>875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19</cp:revision>
  <cp:lastPrinted>2018-03-26T09:55:00Z</cp:lastPrinted>
  <dcterms:created xsi:type="dcterms:W3CDTF">2026-04-14T12:11:00Z</dcterms:created>
  <dcterms:modified xsi:type="dcterms:W3CDTF">2026-07-05T20:25:00Z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