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99571" w14:textId="75246A33" w:rsidR="000A73E2" w:rsidRPr="00B673BB" w:rsidRDefault="00B673BB" w:rsidP="00B673BB">
      <w:pPr>
        <w:jc w:val="right"/>
        <w:rPr>
          <w:rFonts w:ascii="Tahoma" w:hAnsi="Tahoma" w:cs="Tahoma"/>
          <w:b/>
          <w:bCs/>
        </w:rPr>
      </w:pPr>
      <w:r w:rsidRPr="00B673BB">
        <w:rPr>
          <w:rFonts w:ascii="Tahoma" w:hAnsi="Tahoma" w:cs="Tahoma"/>
          <w:b/>
          <w:bCs/>
        </w:rPr>
        <w:t>Załącznik 1</w:t>
      </w:r>
      <w:r w:rsidR="004F609F">
        <w:rPr>
          <w:rFonts w:ascii="Tahoma" w:hAnsi="Tahoma" w:cs="Tahoma"/>
          <w:b/>
          <w:bCs/>
        </w:rPr>
        <w:t>.2</w:t>
      </w:r>
      <w:r w:rsidR="00137BB4">
        <w:rPr>
          <w:rFonts w:ascii="Tahoma" w:hAnsi="Tahoma" w:cs="Tahoma"/>
          <w:b/>
          <w:bCs/>
        </w:rPr>
        <w:t>6</w:t>
      </w:r>
    </w:p>
    <w:p w14:paraId="19B52394" w14:textId="1548D2FE" w:rsidR="00200170" w:rsidRPr="00B673BB" w:rsidRDefault="00561A90" w:rsidP="000A73E2">
      <w:pPr>
        <w:rPr>
          <w:rFonts w:ascii="Tahoma" w:hAnsi="Tahoma" w:cs="Tahoma"/>
          <w:b/>
          <w:bCs/>
        </w:rPr>
      </w:pPr>
      <w:r w:rsidRPr="00561A90">
        <w:rPr>
          <w:rFonts w:ascii="Tahoma" w:hAnsi="Tahoma" w:cs="Tahoma"/>
          <w:b/>
          <w:bCs/>
        </w:rPr>
        <w:t>UPS na potrzeby serwera HA i NAS</w:t>
      </w:r>
      <w:r>
        <w:rPr>
          <w:rFonts w:ascii="Tahoma" w:hAnsi="Tahoma" w:cs="Tahoma"/>
          <w:b/>
          <w:bCs/>
        </w:rPr>
        <w:t xml:space="preserve"> (1 szt.)</w:t>
      </w:r>
    </w:p>
    <w:tbl>
      <w:tblPr>
        <w:tblStyle w:val="Tabela-Siatka"/>
        <w:tblW w:w="9628" w:type="dxa"/>
        <w:tblLook w:val="04A0" w:firstRow="1" w:lastRow="0" w:firstColumn="1" w:lastColumn="0" w:noHBand="0" w:noVBand="1"/>
      </w:tblPr>
      <w:tblGrid>
        <w:gridCol w:w="825"/>
        <w:gridCol w:w="2065"/>
        <w:gridCol w:w="6738"/>
      </w:tblGrid>
      <w:tr w:rsidR="00093BE1" w:rsidRPr="00093BE1" w14:paraId="7BD9C504" w14:textId="77777777" w:rsidTr="4F3D61AD">
        <w:tc>
          <w:tcPr>
            <w:tcW w:w="825" w:type="dxa"/>
            <w:hideMark/>
          </w:tcPr>
          <w:p w14:paraId="4B7DF001" w14:textId="77777777" w:rsidR="00093BE1" w:rsidRPr="00093BE1" w:rsidRDefault="00093BE1" w:rsidP="00093BE1">
            <w:pPr>
              <w:rPr>
                <w:rFonts w:ascii="Tahoma" w:hAnsi="Tahoma" w:cs="Tahoma"/>
                <w:b/>
                <w:bCs/>
              </w:rPr>
            </w:pPr>
            <w:r w:rsidRPr="00093BE1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2065" w:type="dxa"/>
            <w:hideMark/>
          </w:tcPr>
          <w:p w14:paraId="396D38E5" w14:textId="77777777" w:rsidR="00093BE1" w:rsidRPr="00093BE1" w:rsidRDefault="00093BE1" w:rsidP="00093BE1">
            <w:pPr>
              <w:rPr>
                <w:rFonts w:ascii="Tahoma" w:hAnsi="Tahoma" w:cs="Tahoma"/>
                <w:b/>
                <w:bCs/>
              </w:rPr>
            </w:pPr>
            <w:r w:rsidRPr="00093BE1">
              <w:rPr>
                <w:rFonts w:ascii="Tahoma" w:hAnsi="Tahoma" w:cs="Tahoma"/>
                <w:b/>
                <w:bCs/>
              </w:rPr>
              <w:t>Parametr</w:t>
            </w:r>
          </w:p>
        </w:tc>
        <w:tc>
          <w:tcPr>
            <w:tcW w:w="6738" w:type="dxa"/>
            <w:hideMark/>
          </w:tcPr>
          <w:p w14:paraId="2E2C7D90" w14:textId="77777777" w:rsidR="00093BE1" w:rsidRPr="00093BE1" w:rsidRDefault="00093BE1" w:rsidP="57E1599D">
            <w:pPr>
              <w:spacing w:line="276" w:lineRule="auto"/>
              <w:jc w:val="center"/>
              <w:rPr>
                <w:rFonts w:ascii="Tahoma" w:hAnsi="Tahoma" w:cs="Tahoma"/>
                <w:b/>
                <w:bCs/>
              </w:rPr>
            </w:pPr>
            <w:r w:rsidRPr="4F3D61AD">
              <w:rPr>
                <w:rFonts w:ascii="Tahoma" w:hAnsi="Tahoma" w:cs="Tahoma"/>
                <w:b/>
                <w:bCs/>
              </w:rPr>
              <w:t>Wymaganie minimalne</w:t>
            </w:r>
          </w:p>
        </w:tc>
      </w:tr>
      <w:tr w:rsidR="00093BE1" w:rsidRPr="00093BE1" w14:paraId="3F14EF30" w14:textId="77777777" w:rsidTr="4F3D61AD">
        <w:tc>
          <w:tcPr>
            <w:tcW w:w="825" w:type="dxa"/>
            <w:hideMark/>
          </w:tcPr>
          <w:p w14:paraId="6C682422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1</w:t>
            </w:r>
          </w:p>
        </w:tc>
        <w:tc>
          <w:tcPr>
            <w:tcW w:w="2065" w:type="dxa"/>
            <w:hideMark/>
          </w:tcPr>
          <w:p w14:paraId="723F2BF4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Przedmiot zamówienia</w:t>
            </w:r>
          </w:p>
        </w:tc>
        <w:tc>
          <w:tcPr>
            <w:tcW w:w="6738" w:type="dxa"/>
            <w:hideMark/>
          </w:tcPr>
          <w:p w14:paraId="7C86165D" w14:textId="77777777" w:rsidR="00093BE1" w:rsidRPr="00093BE1" w:rsidRDefault="00093BE1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Przedmiotem zamówienia jest dostawa zasilacza awaryjnego UPS przeznaczonego do zabezpieczenia infrastruktury IT/OT, w szczególności serwera HA oraz urządzenia NAS, zapewniającego podtrzymanie zasilania, ochronę przed zakłóceniami oraz bezpieczne zamknięcie systemów.</w:t>
            </w:r>
          </w:p>
        </w:tc>
      </w:tr>
      <w:tr w:rsidR="00093BE1" w:rsidRPr="00093BE1" w14:paraId="6FA52B5A" w14:textId="77777777" w:rsidTr="4F3D61AD">
        <w:tc>
          <w:tcPr>
            <w:tcW w:w="825" w:type="dxa"/>
            <w:hideMark/>
          </w:tcPr>
          <w:p w14:paraId="2128D297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2</w:t>
            </w:r>
          </w:p>
        </w:tc>
        <w:tc>
          <w:tcPr>
            <w:tcW w:w="2065" w:type="dxa"/>
            <w:hideMark/>
          </w:tcPr>
          <w:p w14:paraId="3623AFA4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Topologia</w:t>
            </w:r>
          </w:p>
        </w:tc>
        <w:tc>
          <w:tcPr>
            <w:tcW w:w="6738" w:type="dxa"/>
            <w:hideMark/>
          </w:tcPr>
          <w:p w14:paraId="1215F6AE" w14:textId="2730192E" w:rsidR="00093BE1" w:rsidRPr="00093BE1" w:rsidRDefault="00093BE1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UPS w technologii line-interactive, zapewniający stabilizację napięcia oraz ochronę przed zakłóceniami sieciowymi.</w:t>
            </w:r>
          </w:p>
        </w:tc>
      </w:tr>
      <w:tr w:rsidR="00093BE1" w:rsidRPr="00093BE1" w14:paraId="621B5C1D" w14:textId="77777777" w:rsidTr="4F3D61AD">
        <w:tc>
          <w:tcPr>
            <w:tcW w:w="825" w:type="dxa"/>
            <w:hideMark/>
          </w:tcPr>
          <w:p w14:paraId="2E7D1A1A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3</w:t>
            </w:r>
          </w:p>
        </w:tc>
        <w:tc>
          <w:tcPr>
            <w:tcW w:w="2065" w:type="dxa"/>
            <w:hideMark/>
          </w:tcPr>
          <w:p w14:paraId="105F1B69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Moc pozorna</w:t>
            </w:r>
          </w:p>
        </w:tc>
        <w:tc>
          <w:tcPr>
            <w:tcW w:w="6738" w:type="dxa"/>
            <w:hideMark/>
          </w:tcPr>
          <w:p w14:paraId="2BAB34F5" w14:textId="77777777" w:rsidR="00093BE1" w:rsidRPr="00093BE1" w:rsidRDefault="00093BE1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Minimum 2000 VA</w:t>
            </w:r>
          </w:p>
        </w:tc>
      </w:tr>
      <w:tr w:rsidR="00093BE1" w:rsidRPr="00093BE1" w14:paraId="006BFB47" w14:textId="77777777" w:rsidTr="4F3D61AD">
        <w:tc>
          <w:tcPr>
            <w:tcW w:w="825" w:type="dxa"/>
            <w:hideMark/>
          </w:tcPr>
          <w:p w14:paraId="4EA9BED1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4</w:t>
            </w:r>
          </w:p>
        </w:tc>
        <w:tc>
          <w:tcPr>
            <w:tcW w:w="2065" w:type="dxa"/>
            <w:hideMark/>
          </w:tcPr>
          <w:p w14:paraId="610A428C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Moc czynna</w:t>
            </w:r>
          </w:p>
        </w:tc>
        <w:tc>
          <w:tcPr>
            <w:tcW w:w="6738" w:type="dxa"/>
            <w:hideMark/>
          </w:tcPr>
          <w:p w14:paraId="61A7E0E7" w14:textId="77777777" w:rsidR="00093BE1" w:rsidRPr="00093BE1" w:rsidRDefault="00093BE1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Minimum 1800 W</w:t>
            </w:r>
          </w:p>
        </w:tc>
      </w:tr>
      <w:tr w:rsidR="00093BE1" w:rsidRPr="00093BE1" w14:paraId="2CF51333" w14:textId="77777777" w:rsidTr="4F3D61AD">
        <w:tc>
          <w:tcPr>
            <w:tcW w:w="825" w:type="dxa"/>
            <w:hideMark/>
          </w:tcPr>
          <w:p w14:paraId="499381D9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5</w:t>
            </w:r>
          </w:p>
        </w:tc>
        <w:tc>
          <w:tcPr>
            <w:tcW w:w="2065" w:type="dxa"/>
            <w:hideMark/>
          </w:tcPr>
          <w:p w14:paraId="3AE93E5F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Kształt napięcia wyjściowego</w:t>
            </w:r>
          </w:p>
        </w:tc>
        <w:tc>
          <w:tcPr>
            <w:tcW w:w="6738" w:type="dxa"/>
            <w:hideMark/>
          </w:tcPr>
          <w:p w14:paraId="210A8DF7" w14:textId="31960ECC" w:rsidR="00093BE1" w:rsidRPr="00093BE1" w:rsidRDefault="00093BE1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Pełna sinusoida, odpowiednia dla zasilania urządzeń serwerowych i sieciowych</w:t>
            </w:r>
          </w:p>
        </w:tc>
      </w:tr>
      <w:tr w:rsidR="00093BE1" w:rsidRPr="00093BE1" w14:paraId="117A9E4B" w14:textId="77777777" w:rsidTr="4F3D61AD">
        <w:tc>
          <w:tcPr>
            <w:tcW w:w="825" w:type="dxa"/>
            <w:hideMark/>
          </w:tcPr>
          <w:p w14:paraId="50EE5688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6</w:t>
            </w:r>
          </w:p>
        </w:tc>
        <w:tc>
          <w:tcPr>
            <w:tcW w:w="2065" w:type="dxa"/>
            <w:hideMark/>
          </w:tcPr>
          <w:p w14:paraId="627A726D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Zakres napięcia wejściowego</w:t>
            </w:r>
          </w:p>
        </w:tc>
        <w:tc>
          <w:tcPr>
            <w:tcW w:w="6738" w:type="dxa"/>
            <w:hideMark/>
          </w:tcPr>
          <w:p w14:paraId="0E84A355" w14:textId="10E3745F" w:rsidR="00093BE1" w:rsidRPr="00093BE1" w:rsidRDefault="0001423E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UPS musi umożliwiać pracę bez przechodzenia na zasilanie bateryjne w zakresie napięcia wejściowego nie węższym niż 160–276 V.</w:t>
            </w:r>
          </w:p>
        </w:tc>
      </w:tr>
      <w:tr w:rsidR="00093BE1" w:rsidRPr="00093BE1" w14:paraId="3DA6C158" w14:textId="77777777" w:rsidTr="4F3D61AD">
        <w:tc>
          <w:tcPr>
            <w:tcW w:w="825" w:type="dxa"/>
            <w:hideMark/>
          </w:tcPr>
          <w:p w14:paraId="28174F61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lastRenderedPageBreak/>
              <w:t>7</w:t>
            </w:r>
          </w:p>
        </w:tc>
        <w:tc>
          <w:tcPr>
            <w:tcW w:w="2065" w:type="dxa"/>
            <w:hideMark/>
          </w:tcPr>
          <w:p w14:paraId="214D158E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Napięcie wyjściowe</w:t>
            </w:r>
          </w:p>
        </w:tc>
        <w:tc>
          <w:tcPr>
            <w:tcW w:w="6738" w:type="dxa"/>
            <w:hideMark/>
          </w:tcPr>
          <w:p w14:paraId="2540AFD8" w14:textId="64C26F4A" w:rsidR="00093BE1" w:rsidRPr="00093BE1" w:rsidRDefault="00093BE1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 xml:space="preserve">230 V AC </w:t>
            </w:r>
          </w:p>
        </w:tc>
      </w:tr>
      <w:tr w:rsidR="00093BE1" w:rsidRPr="00093BE1" w14:paraId="191D2F1F" w14:textId="77777777" w:rsidTr="4F3D61AD">
        <w:tc>
          <w:tcPr>
            <w:tcW w:w="825" w:type="dxa"/>
            <w:hideMark/>
          </w:tcPr>
          <w:p w14:paraId="41541892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8</w:t>
            </w:r>
          </w:p>
        </w:tc>
        <w:tc>
          <w:tcPr>
            <w:tcW w:w="2065" w:type="dxa"/>
            <w:hideMark/>
          </w:tcPr>
          <w:p w14:paraId="523F7D71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Czas przełączania</w:t>
            </w:r>
          </w:p>
        </w:tc>
        <w:tc>
          <w:tcPr>
            <w:tcW w:w="6738" w:type="dxa"/>
            <w:hideMark/>
          </w:tcPr>
          <w:p w14:paraId="68BC412C" w14:textId="77777777" w:rsidR="00093BE1" w:rsidRPr="00093BE1" w:rsidRDefault="00093BE1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Maksymalnie 6 ms</w:t>
            </w:r>
          </w:p>
        </w:tc>
      </w:tr>
      <w:tr w:rsidR="00093BE1" w:rsidRPr="00093BE1" w14:paraId="769501FC" w14:textId="77777777" w:rsidTr="4F3D61AD">
        <w:tc>
          <w:tcPr>
            <w:tcW w:w="825" w:type="dxa"/>
            <w:hideMark/>
          </w:tcPr>
          <w:p w14:paraId="7EBA4704" w14:textId="6B15E89A" w:rsidR="00093BE1" w:rsidRPr="00093BE1" w:rsidRDefault="002B606E" w:rsidP="00093BE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</w:t>
            </w:r>
          </w:p>
        </w:tc>
        <w:tc>
          <w:tcPr>
            <w:tcW w:w="2065" w:type="dxa"/>
            <w:hideMark/>
          </w:tcPr>
          <w:p w14:paraId="4B436D6C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Gniazda wyjściowe</w:t>
            </w:r>
          </w:p>
        </w:tc>
        <w:tc>
          <w:tcPr>
            <w:tcW w:w="6738" w:type="dxa"/>
            <w:hideMark/>
          </w:tcPr>
          <w:p w14:paraId="74C9A392" w14:textId="6ABDAC68" w:rsidR="00093BE1" w:rsidRPr="00093BE1" w:rsidRDefault="00093BE1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Minimum 8 gniazd typu IEC, umożliwiające podłączenie urządzeń infrastruktury.</w:t>
            </w:r>
          </w:p>
        </w:tc>
      </w:tr>
      <w:tr w:rsidR="00093BE1" w:rsidRPr="00093BE1" w14:paraId="27D33905" w14:textId="77777777" w:rsidTr="4F3D61AD">
        <w:tc>
          <w:tcPr>
            <w:tcW w:w="825" w:type="dxa"/>
            <w:hideMark/>
          </w:tcPr>
          <w:p w14:paraId="4D7A1AC1" w14:textId="25B3B8D2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1</w:t>
            </w:r>
            <w:r w:rsidR="00C502F7">
              <w:rPr>
                <w:rFonts w:ascii="Tahoma" w:hAnsi="Tahoma" w:cs="Tahoma"/>
              </w:rPr>
              <w:t>0</w:t>
            </w:r>
          </w:p>
        </w:tc>
        <w:tc>
          <w:tcPr>
            <w:tcW w:w="2065" w:type="dxa"/>
            <w:hideMark/>
          </w:tcPr>
          <w:p w14:paraId="606141D7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Interfejsy komunikacyjne</w:t>
            </w:r>
          </w:p>
        </w:tc>
        <w:tc>
          <w:tcPr>
            <w:tcW w:w="6738" w:type="dxa"/>
            <w:hideMark/>
          </w:tcPr>
          <w:p w14:paraId="0E27CC3F" w14:textId="0C2A795C" w:rsidR="00093BE1" w:rsidRPr="0001423E" w:rsidRDefault="0001423E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UPS musi być wyposażony w co najmniej jeden interfejs komunikacyjny USB lub RS-232, umożliwiający komunikację z systemem zarządzania oraz współpracę z oprogramowaniem do monitoringu i bezpiecznego zamykania systemów.</w:t>
            </w:r>
          </w:p>
        </w:tc>
      </w:tr>
      <w:tr w:rsidR="00093BE1" w:rsidRPr="00093BE1" w14:paraId="0B41B356" w14:textId="77777777" w:rsidTr="4F3D61AD">
        <w:tc>
          <w:tcPr>
            <w:tcW w:w="825" w:type="dxa"/>
            <w:hideMark/>
          </w:tcPr>
          <w:p w14:paraId="6D3F4E21" w14:textId="1D933973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1</w:t>
            </w:r>
            <w:r w:rsidR="00C502F7">
              <w:rPr>
                <w:rFonts w:ascii="Tahoma" w:hAnsi="Tahoma" w:cs="Tahoma"/>
              </w:rPr>
              <w:t>1</w:t>
            </w:r>
          </w:p>
        </w:tc>
        <w:tc>
          <w:tcPr>
            <w:tcW w:w="2065" w:type="dxa"/>
            <w:hideMark/>
          </w:tcPr>
          <w:p w14:paraId="30A5359C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Dodatkowe interfejsy</w:t>
            </w:r>
          </w:p>
        </w:tc>
        <w:tc>
          <w:tcPr>
            <w:tcW w:w="6738" w:type="dxa"/>
            <w:hideMark/>
          </w:tcPr>
          <w:p w14:paraId="4D06719F" w14:textId="62209620" w:rsidR="00093BE1" w:rsidRPr="00093BE1" w:rsidRDefault="00093BE1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Obsługa komunikacji sieciowej RJ-45</w:t>
            </w:r>
            <w:r w:rsidR="0001423E" w:rsidRPr="57E1599D">
              <w:rPr>
                <w:rFonts w:ascii="Tahoma" w:hAnsi="Tahoma" w:cs="Tahoma"/>
              </w:rPr>
              <w:t xml:space="preserve"> (urządzenie musi posiadać kartę sieciową)</w:t>
            </w:r>
          </w:p>
        </w:tc>
      </w:tr>
      <w:tr w:rsidR="00093BE1" w:rsidRPr="00093BE1" w14:paraId="506001A2" w14:textId="77777777" w:rsidTr="4F3D61AD">
        <w:tc>
          <w:tcPr>
            <w:tcW w:w="825" w:type="dxa"/>
            <w:hideMark/>
          </w:tcPr>
          <w:p w14:paraId="7289A429" w14:textId="598FC71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1</w:t>
            </w:r>
            <w:r w:rsidR="00C502F7">
              <w:rPr>
                <w:rFonts w:ascii="Tahoma" w:hAnsi="Tahoma" w:cs="Tahoma"/>
              </w:rPr>
              <w:t>2</w:t>
            </w:r>
          </w:p>
        </w:tc>
        <w:tc>
          <w:tcPr>
            <w:tcW w:w="2065" w:type="dxa"/>
            <w:hideMark/>
          </w:tcPr>
          <w:p w14:paraId="256BA265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Funkcje zarządzania</w:t>
            </w:r>
          </w:p>
        </w:tc>
        <w:tc>
          <w:tcPr>
            <w:tcW w:w="6738" w:type="dxa"/>
            <w:hideMark/>
          </w:tcPr>
          <w:p w14:paraId="2D41CCF1" w14:textId="707CD7CB" w:rsidR="00093BE1" w:rsidRPr="00093BE1" w:rsidRDefault="0001423E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Rozwiązanie musi umożliwiać monitorowanie stanu pracy UPS, w tym co najmniej odczyt parametrów zasilania, poziomu obciążenia, stanu baterii oraz inicjowanie bezpiecznego zamknięcia współpracujących systemów.</w:t>
            </w:r>
          </w:p>
        </w:tc>
      </w:tr>
      <w:tr w:rsidR="00093BE1" w:rsidRPr="00093BE1" w14:paraId="4229FCE3" w14:textId="77777777" w:rsidTr="4F3D61AD">
        <w:tc>
          <w:tcPr>
            <w:tcW w:w="825" w:type="dxa"/>
            <w:hideMark/>
          </w:tcPr>
          <w:p w14:paraId="0E2B73A7" w14:textId="4F5D8512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1</w:t>
            </w:r>
            <w:r w:rsidR="00C502F7">
              <w:rPr>
                <w:rFonts w:ascii="Tahoma" w:hAnsi="Tahoma" w:cs="Tahoma"/>
              </w:rPr>
              <w:t>3</w:t>
            </w:r>
          </w:p>
        </w:tc>
        <w:tc>
          <w:tcPr>
            <w:tcW w:w="2065" w:type="dxa"/>
            <w:hideMark/>
          </w:tcPr>
          <w:p w14:paraId="3400924E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Sygnalizacja pracy</w:t>
            </w:r>
          </w:p>
        </w:tc>
        <w:tc>
          <w:tcPr>
            <w:tcW w:w="6738" w:type="dxa"/>
            <w:hideMark/>
          </w:tcPr>
          <w:p w14:paraId="14F97C80" w14:textId="02499A34" w:rsidR="00093BE1" w:rsidRPr="00093BE1" w:rsidRDefault="00093BE1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Wyświetlacz LCD lub inny system prezentacji parametrów pracy oraz sygnalizacja akustyczna lub optyczna</w:t>
            </w:r>
          </w:p>
        </w:tc>
      </w:tr>
      <w:tr w:rsidR="00093BE1" w:rsidRPr="00093BE1" w14:paraId="5D55006B" w14:textId="77777777" w:rsidTr="4F3D61AD">
        <w:tc>
          <w:tcPr>
            <w:tcW w:w="825" w:type="dxa"/>
            <w:hideMark/>
          </w:tcPr>
          <w:p w14:paraId="6A5ADFD4" w14:textId="58BF7A86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lastRenderedPageBreak/>
              <w:t>1</w:t>
            </w:r>
            <w:r w:rsidR="00C502F7">
              <w:rPr>
                <w:rFonts w:ascii="Tahoma" w:hAnsi="Tahoma" w:cs="Tahoma"/>
              </w:rPr>
              <w:t>4</w:t>
            </w:r>
          </w:p>
        </w:tc>
        <w:tc>
          <w:tcPr>
            <w:tcW w:w="2065" w:type="dxa"/>
            <w:hideMark/>
          </w:tcPr>
          <w:p w14:paraId="3B49C466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Czas podtrzymania</w:t>
            </w:r>
          </w:p>
        </w:tc>
        <w:tc>
          <w:tcPr>
            <w:tcW w:w="6738" w:type="dxa"/>
            <w:hideMark/>
          </w:tcPr>
          <w:p w14:paraId="1800449D" w14:textId="19E7D128" w:rsidR="00093BE1" w:rsidRPr="0001423E" w:rsidRDefault="0001423E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UPS musi zapewniać czas podtrzymania zasilania nie krótszy niż 15 minut przy obciążeniu odpowiadającym znamionowej pracy serwera HA i urządzenia NAS przewidzianych do współpracy z UPS, umożliwiający bezpieczne zamknięcie systemów.</w:t>
            </w:r>
          </w:p>
        </w:tc>
      </w:tr>
      <w:tr w:rsidR="00093BE1" w:rsidRPr="00093BE1" w14:paraId="560DEC16" w14:textId="77777777" w:rsidTr="4F3D61AD">
        <w:tc>
          <w:tcPr>
            <w:tcW w:w="825" w:type="dxa"/>
            <w:hideMark/>
          </w:tcPr>
          <w:p w14:paraId="754983C3" w14:textId="6E5A9761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1</w:t>
            </w:r>
            <w:r w:rsidR="00C502F7">
              <w:rPr>
                <w:rFonts w:ascii="Tahoma" w:hAnsi="Tahoma" w:cs="Tahoma"/>
              </w:rPr>
              <w:t>5</w:t>
            </w:r>
          </w:p>
        </w:tc>
        <w:tc>
          <w:tcPr>
            <w:tcW w:w="2065" w:type="dxa"/>
            <w:hideMark/>
          </w:tcPr>
          <w:p w14:paraId="2050CC39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Obudowa</w:t>
            </w:r>
          </w:p>
        </w:tc>
        <w:tc>
          <w:tcPr>
            <w:tcW w:w="6738" w:type="dxa"/>
            <w:hideMark/>
          </w:tcPr>
          <w:p w14:paraId="56B76E43" w14:textId="1AF173C3" w:rsidR="00093BE1" w:rsidRPr="00093BE1" w:rsidRDefault="00093BE1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 xml:space="preserve">Przystosowana do montażu w szafie rack 19” </w:t>
            </w:r>
          </w:p>
        </w:tc>
      </w:tr>
      <w:tr w:rsidR="00093BE1" w:rsidRPr="00093BE1" w14:paraId="6920DC7F" w14:textId="77777777" w:rsidTr="4F3D61AD">
        <w:tc>
          <w:tcPr>
            <w:tcW w:w="825" w:type="dxa"/>
            <w:hideMark/>
          </w:tcPr>
          <w:p w14:paraId="271B12C3" w14:textId="68EFD6A5" w:rsidR="00093BE1" w:rsidRPr="00093BE1" w:rsidRDefault="00C502F7" w:rsidP="00093BE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  <w:tc>
          <w:tcPr>
            <w:tcW w:w="2065" w:type="dxa"/>
            <w:hideMark/>
          </w:tcPr>
          <w:p w14:paraId="54AB8A2C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Akcesoria</w:t>
            </w:r>
          </w:p>
        </w:tc>
        <w:tc>
          <w:tcPr>
            <w:tcW w:w="6738" w:type="dxa"/>
            <w:hideMark/>
          </w:tcPr>
          <w:p w14:paraId="53E090D3" w14:textId="70E5C9CD" w:rsidR="00093BE1" w:rsidRPr="00093BE1" w:rsidRDefault="0001423E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W zestawie muszą znajdować się wszystkie akcesoria niezbędne do montażu, podłączenia i uruchomienia UPS, w tym odpowiednie przewody zasilające, przewody komunikacyjne, elementy montażowe do szafy rack 19”, instrukcja użytkownika oraz dokumentacja producenta.</w:t>
            </w:r>
          </w:p>
        </w:tc>
      </w:tr>
      <w:tr w:rsidR="00093BE1" w:rsidRPr="00093BE1" w14:paraId="2D434F17" w14:textId="77777777" w:rsidTr="4F3D61AD">
        <w:tc>
          <w:tcPr>
            <w:tcW w:w="825" w:type="dxa"/>
            <w:hideMark/>
          </w:tcPr>
          <w:p w14:paraId="2CB7D8EB" w14:textId="494D5B0D" w:rsidR="00093BE1" w:rsidRPr="00093BE1" w:rsidRDefault="00C502F7" w:rsidP="00093BE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17</w:t>
            </w:r>
          </w:p>
        </w:tc>
        <w:tc>
          <w:tcPr>
            <w:tcW w:w="2065" w:type="dxa"/>
            <w:hideMark/>
          </w:tcPr>
          <w:p w14:paraId="24096E9D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Oprogramowanie</w:t>
            </w:r>
          </w:p>
        </w:tc>
        <w:tc>
          <w:tcPr>
            <w:tcW w:w="6738" w:type="dxa"/>
            <w:hideMark/>
          </w:tcPr>
          <w:p w14:paraId="18E53C34" w14:textId="11FC995D" w:rsidR="00093BE1" w:rsidRPr="00093BE1" w:rsidRDefault="0001423E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Oprogramowanie, umożliwiające monitorowanie pracy UPS oraz konfigurację i realizację bezpiecznego zamykania systemów, musi być dostarczone w zestawie lub udostępnione bez dodatkowych opłat.</w:t>
            </w:r>
          </w:p>
        </w:tc>
      </w:tr>
      <w:tr w:rsidR="00093BE1" w:rsidRPr="00093BE1" w14:paraId="1384D7B1" w14:textId="77777777" w:rsidTr="4F3D61AD">
        <w:tc>
          <w:tcPr>
            <w:tcW w:w="825" w:type="dxa"/>
            <w:hideMark/>
          </w:tcPr>
          <w:p w14:paraId="0A3DE1AD" w14:textId="397E4F21" w:rsidR="00093BE1" w:rsidRPr="00093BE1" w:rsidRDefault="00C502F7" w:rsidP="00093BE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18</w:t>
            </w:r>
          </w:p>
        </w:tc>
        <w:tc>
          <w:tcPr>
            <w:tcW w:w="2065" w:type="dxa"/>
            <w:hideMark/>
          </w:tcPr>
          <w:p w14:paraId="030765CB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Gwarancja</w:t>
            </w:r>
          </w:p>
        </w:tc>
        <w:tc>
          <w:tcPr>
            <w:tcW w:w="6738" w:type="dxa"/>
            <w:hideMark/>
          </w:tcPr>
          <w:p w14:paraId="4DD8DC36" w14:textId="2D92D854" w:rsidR="00093BE1" w:rsidRPr="00093BE1" w:rsidRDefault="0001423E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24 miesiące gwarancji, liczone od dnia podpisania protokołu odbioru, obejmującej usuwanie wad urządzenia oraz wymianę uszkodzonych elementów.</w:t>
            </w:r>
          </w:p>
        </w:tc>
      </w:tr>
    </w:tbl>
    <w:p w14:paraId="2E59501D" w14:textId="77777777" w:rsidR="00200170" w:rsidRPr="00200170" w:rsidRDefault="00200170" w:rsidP="000A73E2">
      <w:pPr>
        <w:rPr>
          <w:rFonts w:ascii="Tahoma" w:hAnsi="Tahoma" w:cs="Tahoma"/>
        </w:rPr>
      </w:pPr>
    </w:p>
    <w:sectPr w:rsidR="00200170" w:rsidRPr="00200170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EF489" w14:textId="77777777" w:rsidR="003451E9" w:rsidRDefault="003451E9">
      <w:r>
        <w:separator/>
      </w:r>
    </w:p>
  </w:endnote>
  <w:endnote w:type="continuationSeparator" w:id="0">
    <w:p w14:paraId="52CD4EDF" w14:textId="77777777" w:rsidR="003451E9" w:rsidRDefault="00345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F71B98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00000">
      <w:rPr>
        <w:rFonts w:asciiTheme="minorHAnsi" w:hAnsiTheme="minorHAnsi" w:cstheme="minorHAnsi"/>
        <w:noProof/>
        <w:sz w:val="10"/>
        <w:szCs w:val="10"/>
      </w:rPr>
      <w:pict w14:anchorId="323B3C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728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A5E31" w14:textId="77777777" w:rsidR="003451E9" w:rsidRDefault="003451E9">
      <w:r>
        <w:separator/>
      </w:r>
    </w:p>
  </w:footnote>
  <w:footnote w:type="continuationSeparator" w:id="0">
    <w:p w14:paraId="5850BBBD" w14:textId="77777777" w:rsidR="003451E9" w:rsidRDefault="00345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9"/>
  </w:num>
  <w:num w:numId="4" w16cid:durableId="907615826">
    <w:abstractNumId w:val="6"/>
  </w:num>
  <w:num w:numId="5" w16cid:durableId="397635744">
    <w:abstractNumId w:val="15"/>
  </w:num>
  <w:num w:numId="6" w16cid:durableId="1648318210">
    <w:abstractNumId w:val="13"/>
  </w:num>
  <w:num w:numId="7" w16cid:durableId="331833269">
    <w:abstractNumId w:val="14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2"/>
  </w:num>
  <w:num w:numId="11" w16cid:durableId="7873616">
    <w:abstractNumId w:val="8"/>
  </w:num>
  <w:num w:numId="12" w16cid:durableId="1726102718">
    <w:abstractNumId w:val="16"/>
  </w:num>
  <w:num w:numId="13" w16cid:durableId="333580693">
    <w:abstractNumId w:val="11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1903"/>
    <w:rsid w:val="00010FC6"/>
    <w:rsid w:val="0001423E"/>
    <w:rsid w:val="0004603C"/>
    <w:rsid w:val="00065C40"/>
    <w:rsid w:val="00066042"/>
    <w:rsid w:val="00093BE1"/>
    <w:rsid w:val="00094EF6"/>
    <w:rsid w:val="000A73E2"/>
    <w:rsid w:val="000E21EF"/>
    <w:rsid w:val="000E45A5"/>
    <w:rsid w:val="0010162A"/>
    <w:rsid w:val="00137BB4"/>
    <w:rsid w:val="001561C5"/>
    <w:rsid w:val="001713B4"/>
    <w:rsid w:val="00197641"/>
    <w:rsid w:val="001A0A4B"/>
    <w:rsid w:val="00200170"/>
    <w:rsid w:val="00214307"/>
    <w:rsid w:val="002571F6"/>
    <w:rsid w:val="002B08FC"/>
    <w:rsid w:val="002B40F4"/>
    <w:rsid w:val="002B606E"/>
    <w:rsid w:val="002D66BB"/>
    <w:rsid w:val="002E6BDD"/>
    <w:rsid w:val="002F66E8"/>
    <w:rsid w:val="00310274"/>
    <w:rsid w:val="003134FE"/>
    <w:rsid w:val="003165EB"/>
    <w:rsid w:val="0032350E"/>
    <w:rsid w:val="003451E9"/>
    <w:rsid w:val="003816DA"/>
    <w:rsid w:val="00385FFB"/>
    <w:rsid w:val="00412555"/>
    <w:rsid w:val="0042606F"/>
    <w:rsid w:val="00431337"/>
    <w:rsid w:val="00436853"/>
    <w:rsid w:val="00482EA3"/>
    <w:rsid w:val="004844AD"/>
    <w:rsid w:val="004E62F6"/>
    <w:rsid w:val="004F609F"/>
    <w:rsid w:val="005115C2"/>
    <w:rsid w:val="00561A90"/>
    <w:rsid w:val="0058722E"/>
    <w:rsid w:val="00592891"/>
    <w:rsid w:val="005A056A"/>
    <w:rsid w:val="005B7917"/>
    <w:rsid w:val="005D772F"/>
    <w:rsid w:val="005E22E2"/>
    <w:rsid w:val="00651DBC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784C"/>
    <w:rsid w:val="008B2E44"/>
    <w:rsid w:val="008C4DE6"/>
    <w:rsid w:val="008D7C6A"/>
    <w:rsid w:val="00924460"/>
    <w:rsid w:val="009823C9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2C1C"/>
    <w:rsid w:val="00B066B2"/>
    <w:rsid w:val="00B371AE"/>
    <w:rsid w:val="00B37C91"/>
    <w:rsid w:val="00B546E9"/>
    <w:rsid w:val="00B615FE"/>
    <w:rsid w:val="00B619ED"/>
    <w:rsid w:val="00B673BB"/>
    <w:rsid w:val="00B82EF6"/>
    <w:rsid w:val="00BC79CC"/>
    <w:rsid w:val="00C029AA"/>
    <w:rsid w:val="00C06AC7"/>
    <w:rsid w:val="00C0733F"/>
    <w:rsid w:val="00C13123"/>
    <w:rsid w:val="00C14A13"/>
    <w:rsid w:val="00C24F21"/>
    <w:rsid w:val="00C3461A"/>
    <w:rsid w:val="00C41A18"/>
    <w:rsid w:val="00C502F7"/>
    <w:rsid w:val="00C6529D"/>
    <w:rsid w:val="00C965EE"/>
    <w:rsid w:val="00CA4211"/>
    <w:rsid w:val="00CA518A"/>
    <w:rsid w:val="00CB53C1"/>
    <w:rsid w:val="00CC431D"/>
    <w:rsid w:val="00CF1AB9"/>
    <w:rsid w:val="00DC0C56"/>
    <w:rsid w:val="00DD59C4"/>
    <w:rsid w:val="00E1663C"/>
    <w:rsid w:val="00E81AAD"/>
    <w:rsid w:val="00E82DDD"/>
    <w:rsid w:val="00EA5546"/>
    <w:rsid w:val="00EB7791"/>
    <w:rsid w:val="00ED2038"/>
    <w:rsid w:val="00EE312E"/>
    <w:rsid w:val="00F6134F"/>
    <w:rsid w:val="00F753C2"/>
    <w:rsid w:val="00F8620F"/>
    <w:rsid w:val="00FE3AD8"/>
    <w:rsid w:val="00FF5508"/>
    <w:rsid w:val="28F1233D"/>
    <w:rsid w:val="4F3D61AD"/>
    <w:rsid w:val="57E15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423</Words>
  <Characters>2238</Characters>
  <Application>Microsoft Office Word</Application>
  <DocSecurity>0</DocSecurity>
  <Lines>223</Lines>
  <Paragraphs>177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Artur Gusta</cp:lastModifiedBy>
  <cp:revision>12</cp:revision>
  <cp:lastPrinted>2018-03-26T09:55:00Z</cp:lastPrinted>
  <dcterms:created xsi:type="dcterms:W3CDTF">2026-04-07T06:33:00Z</dcterms:created>
  <dcterms:modified xsi:type="dcterms:W3CDTF">2026-07-05T20:35:00Z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