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9FE8" w14:textId="11C61194" w:rsidR="00C02F3C" w:rsidRPr="00A42ABD" w:rsidRDefault="00FA188D" w:rsidP="00277E5B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b/>
          <w:sz w:val="22"/>
          <w:szCs w:val="22"/>
        </w:rPr>
      </w:pPr>
      <w:r w:rsidRPr="00A42ABD">
        <w:rPr>
          <w:rFonts w:asciiTheme="minorHAnsi" w:hAnsiTheme="minorHAnsi" w:cstheme="minorHAnsi"/>
          <w:noProof/>
          <w:sz w:val="22"/>
          <w:szCs w:val="22"/>
          <w:lang w:eastAsia="pl-PL" w:bidi="ar-SA"/>
        </w:rPr>
        <w:drawing>
          <wp:inline distT="0" distB="0" distL="0" distR="0" wp14:anchorId="4F14A310" wp14:editId="35D3B536">
            <wp:extent cx="1574165" cy="511175"/>
            <wp:effectExtent l="0" t="0" r="6985" b="3175"/>
            <wp:docPr id="2128438097" name="Obraz 2" descr="Logotyp dofinansowania ze środków krajowych - flaga i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38097" name="Obraz 2" descr="Logotyp dofinansowania ze środków krajowych - flaga i godło Polski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E5B" w:rsidRPr="00A42ABD">
        <w:rPr>
          <w:rFonts w:asciiTheme="minorHAnsi" w:hAnsiTheme="minorHAnsi" w:cstheme="minorHAnsi"/>
          <w:noProof/>
          <w:sz w:val="22"/>
          <w:szCs w:val="22"/>
          <w:lang w:eastAsia="pl-PL" w:bidi="ar-SA"/>
        </w:rPr>
        <w:tab/>
      </w:r>
      <w:r w:rsidR="00277E5B" w:rsidRPr="00A42ABD">
        <w:rPr>
          <w:rFonts w:asciiTheme="minorHAnsi" w:hAnsiTheme="minorHAnsi" w:cstheme="minorHAnsi"/>
          <w:noProof/>
          <w:sz w:val="22"/>
          <w:szCs w:val="22"/>
          <w:lang w:eastAsia="pl-PL" w:bidi="ar-SA"/>
        </w:rPr>
        <w:drawing>
          <wp:inline distT="0" distB="0" distL="0" distR="0" wp14:anchorId="769D2205" wp14:editId="052F100F">
            <wp:extent cx="1579245" cy="545465"/>
            <wp:effectExtent l="0" t="0" r="1905" b="6985"/>
            <wp:docPr id="50370982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0982" name="Obraz 1" descr="Logo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2E8C" w14:textId="3BE504C1" w:rsidR="00D6692D" w:rsidRPr="00A42ABD" w:rsidRDefault="00277E5B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200" w:lineRule="atLeas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42ABD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3D876B3B" w14:textId="77777777" w:rsidR="004B0B9F" w:rsidRPr="00A42ABD" w:rsidRDefault="004B0B9F" w:rsidP="00FE25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99406" w14:textId="77777777" w:rsidR="004B0B9F" w:rsidRPr="00A42ABD" w:rsidRDefault="004B0B9F" w:rsidP="00FE25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2058A3" w14:textId="4CEA7FA8" w:rsidR="00FE2541" w:rsidRPr="00A42ABD" w:rsidRDefault="00FE2541" w:rsidP="00FE2541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2ABD">
        <w:rPr>
          <w:rFonts w:asciiTheme="minorHAnsi" w:hAnsiTheme="minorHAnsi" w:cstheme="minorHAnsi"/>
          <w:b/>
          <w:bCs/>
          <w:sz w:val="22"/>
          <w:szCs w:val="22"/>
        </w:rPr>
        <w:t>ZP-</w:t>
      </w:r>
      <w:r w:rsidR="00FA188D" w:rsidRPr="00A42ABD">
        <w:rPr>
          <w:rFonts w:asciiTheme="minorHAnsi" w:hAnsiTheme="minorHAnsi" w:cstheme="minorHAnsi"/>
          <w:b/>
          <w:bCs/>
          <w:sz w:val="22"/>
          <w:szCs w:val="22"/>
        </w:rPr>
        <w:t>WA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.271.</w:t>
      </w:r>
      <w:r w:rsidR="00277E5B" w:rsidRPr="00A42ABD">
        <w:rPr>
          <w:rFonts w:asciiTheme="minorHAnsi" w:hAnsiTheme="minorHAnsi" w:cstheme="minorHAnsi"/>
          <w:b/>
          <w:bCs/>
          <w:sz w:val="22"/>
          <w:szCs w:val="22"/>
        </w:rPr>
        <w:t>25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C3D91" w:rsidRPr="00A42AB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Gołdap, dn.</w:t>
      </w:r>
      <w:r w:rsidR="003D302E" w:rsidRPr="00A42AB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77E5B" w:rsidRPr="00A42ABD">
        <w:rPr>
          <w:rFonts w:asciiTheme="minorHAnsi" w:hAnsiTheme="minorHAnsi" w:cstheme="minorHAnsi"/>
          <w:b/>
          <w:bCs/>
          <w:sz w:val="22"/>
          <w:szCs w:val="22"/>
        </w:rPr>
        <w:t>04</w:t>
      </w:r>
      <w:r w:rsidR="00A8634D" w:rsidRPr="00A42AB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277E5B" w:rsidRPr="00A42ABD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C3D91" w:rsidRPr="00A42AB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r.</w:t>
      </w:r>
    </w:p>
    <w:p w14:paraId="78F5305D" w14:textId="77777777" w:rsidR="00FE2541" w:rsidRPr="00A42ABD" w:rsidRDefault="00FE2541" w:rsidP="00FE2541">
      <w:pPr>
        <w:pStyle w:val="Standard"/>
        <w:spacing w:line="276" w:lineRule="auto"/>
        <w:ind w:left="14"/>
        <w:jc w:val="both"/>
        <w:rPr>
          <w:rFonts w:asciiTheme="minorHAnsi" w:hAnsiTheme="minorHAnsi" w:cstheme="minorHAnsi"/>
          <w:sz w:val="22"/>
          <w:szCs w:val="22"/>
        </w:rPr>
      </w:pPr>
    </w:p>
    <w:p w14:paraId="714D671A" w14:textId="301DB302" w:rsidR="002C3D91" w:rsidRPr="00A42ABD" w:rsidRDefault="00FE2541" w:rsidP="003B68D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Dotyczy postępowania o udzielenie zamówienia publicznego </w:t>
      </w:r>
      <w:bookmarkStart w:id="0" w:name="_Hlk112833782"/>
      <w:r w:rsidR="003B68D1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pn.: „Zakup i dostawa sprzętu i wyposażenia na potrzeby ochrony ludności i obrony cywilnej w Gminie Gołdap w ramach realizacji Programu Ochrony Ludności i Obrony Cywilnej na lata 2025-2026”</w:t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B43526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Obszar 2 – Zabezpieczenie logistyczne</w:t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B43526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i zapewnienie </w:t>
      </w:r>
      <w:r w:rsidR="00D1252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br/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c</w:t>
      </w:r>
      <w:r w:rsidR="00B43526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iągłości dostaw w przedmiocie </w:t>
      </w:r>
      <w:r w:rsidR="003B68D1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dostawy </w:t>
      </w:r>
      <w:r w:rsidR="00D1252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mini</w:t>
      </w:r>
      <w:r w:rsidR="003B68D1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koparko – ładowarki </w:t>
      </w:r>
      <w:r w:rsidR="00D1252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wraz z przyczepą dwuosiową do jej transportu</w:t>
      </w:r>
    </w:p>
    <w:p w14:paraId="665CBEF2" w14:textId="77777777" w:rsidR="0093394B" w:rsidRPr="00A42ABD" w:rsidRDefault="0093394B" w:rsidP="00FE254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0F163A76" w14:textId="11135F9D" w:rsidR="00FE2541" w:rsidRPr="00A42ABD" w:rsidRDefault="00FE2541" w:rsidP="00E00AAD">
      <w:pPr>
        <w:tabs>
          <w:tab w:val="left" w:pos="360"/>
          <w:tab w:val="center" w:pos="10656"/>
          <w:tab w:val="right" w:pos="1519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2ABD">
        <w:rPr>
          <w:rFonts w:asciiTheme="minorHAnsi" w:hAnsiTheme="minorHAnsi" w:cstheme="minorHAnsi"/>
          <w:sz w:val="22"/>
          <w:szCs w:val="22"/>
        </w:rPr>
        <w:tab/>
      </w:r>
      <w:r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Gmina Gołdap, w trybie art. 284 ust. 2 Ustawy z dnia 11 września 2019 r. Prawo zamówień publicznych </w:t>
      </w:r>
      <w:r w:rsidR="00565406" w:rsidRPr="00A42ABD">
        <w:rPr>
          <w:rFonts w:asciiTheme="minorHAnsi" w:hAnsiTheme="minorHAnsi" w:cstheme="minorHAnsi"/>
          <w:sz w:val="22"/>
          <w:szCs w:val="22"/>
          <w:shd w:val="clear" w:color="auto" w:fill="FFFFFF"/>
        </w:rPr>
        <w:t>(</w:t>
      </w:r>
      <w:r w:rsidR="00D1252C" w:rsidRPr="00A42ABD">
        <w:rPr>
          <w:rFonts w:asciiTheme="minorHAnsi" w:hAnsiTheme="minorHAnsi" w:cstheme="minorHAnsi"/>
          <w:sz w:val="22"/>
          <w:szCs w:val="22"/>
          <w:shd w:val="clear" w:color="auto" w:fill="FFFFFF"/>
        </w:rPr>
        <w:t>t.j. Dz. U. z 2026 r. poz. 793 z późn. zm.</w:t>
      </w:r>
      <w:r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), w odpowiedzi na wniosek o wyjaśnienie treści SWZ</w:t>
      </w:r>
      <w:r w:rsidR="00D1252C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</w:t>
      </w:r>
      <w:r w:rsidR="002C3D91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z dnia </w:t>
      </w:r>
      <w:r w:rsidR="00D1252C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31 lipca</w:t>
      </w:r>
      <w:r w:rsidR="004F0D5E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2026 r. oraz 3 sierpnia </w:t>
      </w:r>
      <w:r w:rsidR="002C3D91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2026 r.</w:t>
      </w:r>
      <w:r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, informuje co następuje:</w:t>
      </w:r>
    </w:p>
    <w:p w14:paraId="62CD6D99" w14:textId="77777777" w:rsidR="00FE2541" w:rsidRPr="00A42ABD" w:rsidRDefault="00FE2541" w:rsidP="00FE254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7DF27147" w14:textId="77777777" w:rsidR="00EC7869" w:rsidRPr="00A42ABD" w:rsidRDefault="00FE2541" w:rsidP="00EC7869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</w:t>
      </w:r>
      <w:r w:rsidR="00EA58A1" w:rsidRPr="00A42ABD">
        <w:rPr>
          <w:rFonts w:asciiTheme="minorHAnsi" w:hAnsiTheme="minorHAnsi" w:cstheme="minorHAnsi"/>
          <w:b/>
          <w:bCs/>
          <w:lang w:eastAsia="pl-PL"/>
        </w:rPr>
        <w:t xml:space="preserve"> nr 1</w:t>
      </w:r>
    </w:p>
    <w:p w14:paraId="58F0A3CF" w14:textId="67F9825B" w:rsidR="009B1C43" w:rsidRPr="00A42ABD" w:rsidRDefault="00D1252C" w:rsidP="00211F2D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42ABD">
        <w:rPr>
          <w:rFonts w:asciiTheme="minorHAnsi" w:hAnsiTheme="minorHAnsi" w:cstheme="minorHAnsi"/>
          <w:bCs/>
          <w:sz w:val="22"/>
          <w:szCs w:val="22"/>
        </w:rPr>
        <w:t>Czy zamawiający dopuszcza maszynę o szerokości całkowitej min. 980mm max. 1320mm?</w:t>
      </w:r>
      <w:r w:rsidR="00EA58A1" w:rsidRPr="00A42A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2C90F26" w14:textId="77777777" w:rsidR="00EA58A1" w:rsidRPr="00A42ABD" w:rsidRDefault="00EA58A1" w:rsidP="00211F2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56DB35" w14:textId="77777777" w:rsidR="00C33650" w:rsidRPr="00A42ABD" w:rsidRDefault="003C422E" w:rsidP="00211F2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2ABD">
        <w:rPr>
          <w:rFonts w:asciiTheme="minorHAnsi" w:hAnsiTheme="minorHAnsi" w:cstheme="minorHAnsi"/>
          <w:b/>
          <w:bCs/>
          <w:sz w:val="22"/>
          <w:szCs w:val="22"/>
        </w:rPr>
        <w:t>Wyjaśnienie:</w:t>
      </w:r>
    </w:p>
    <w:p w14:paraId="1D242EC9" w14:textId="694D3164" w:rsidR="00404169" w:rsidRPr="00A42ABD" w:rsidRDefault="00404169" w:rsidP="00404169">
      <w:pPr>
        <w:spacing w:after="120"/>
        <w:jc w:val="both"/>
        <w:rPr>
          <w:rFonts w:asciiTheme="minorHAnsi" w:hAnsiTheme="minorHAnsi" w:cstheme="minorHAnsi"/>
          <w:color w:val="0A0A0A"/>
          <w:sz w:val="22"/>
          <w:szCs w:val="22"/>
        </w:rPr>
      </w:pPr>
      <w:r w:rsidRPr="00A42ABD">
        <w:rPr>
          <w:rFonts w:asciiTheme="minorHAnsi" w:hAnsiTheme="minorHAnsi" w:cstheme="minorHAnsi"/>
          <w:sz w:val="22"/>
          <w:szCs w:val="22"/>
        </w:rPr>
        <w:t xml:space="preserve">Zamawiający nie wyraża zgody. Zamawiający podtrzymuje wymaganie dotyczące szerokości całkowitej </w:t>
      </w:r>
      <w:r w:rsidR="00A42ABD">
        <w:rPr>
          <w:rFonts w:asciiTheme="minorHAnsi" w:hAnsiTheme="minorHAnsi" w:cstheme="minorHAnsi"/>
          <w:sz w:val="22"/>
          <w:szCs w:val="22"/>
        </w:rPr>
        <w:br/>
      </w:r>
      <w:r w:rsidRPr="00A42ABD">
        <w:rPr>
          <w:rFonts w:asciiTheme="minorHAnsi" w:hAnsiTheme="minorHAnsi" w:cstheme="minorHAnsi"/>
          <w:sz w:val="22"/>
          <w:szCs w:val="22"/>
        </w:rPr>
        <w:t>maszyny w zakresie od minimum 900 mm do maksimum 1300 mm.</w:t>
      </w:r>
    </w:p>
    <w:p w14:paraId="1023A725" w14:textId="77777777" w:rsidR="00115C0C" w:rsidRPr="00A42ABD" w:rsidRDefault="00115C0C">
      <w:pPr>
        <w:pStyle w:val="Bezodstpw"/>
        <w:spacing w:line="276" w:lineRule="auto"/>
        <w:jc w:val="both"/>
        <w:rPr>
          <w:rFonts w:asciiTheme="minorHAnsi" w:hAnsiTheme="minorHAnsi" w:cstheme="minorHAnsi"/>
          <w:lang w:eastAsia="pl-PL"/>
        </w:rPr>
      </w:pPr>
    </w:p>
    <w:p w14:paraId="42CFECEA" w14:textId="77777777" w:rsidR="00F87CA6" w:rsidRPr="00A42ABD" w:rsidRDefault="00F87CA6" w:rsidP="00F87CA6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2:</w:t>
      </w:r>
    </w:p>
    <w:p w14:paraId="3DC0A8DF" w14:textId="03DA09F7" w:rsidR="00EA58A1" w:rsidRPr="00A42ABD" w:rsidRDefault="00D1252C" w:rsidP="00EA58A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42ABD">
        <w:rPr>
          <w:rFonts w:asciiTheme="minorHAnsi" w:hAnsiTheme="minorHAnsi" w:cstheme="minorHAnsi"/>
          <w:bCs/>
          <w:sz w:val="22"/>
          <w:szCs w:val="22"/>
        </w:rPr>
        <w:t>Czy zamawiający dopuszcza instalację hydrauliczną (dwukierunkową) na ramieniu?</w:t>
      </w:r>
    </w:p>
    <w:p w14:paraId="231B4104" w14:textId="77777777" w:rsidR="00F87CA6" w:rsidRPr="00A42ABD" w:rsidRDefault="00F87CA6" w:rsidP="00F87C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99ED4C" w14:textId="77777777" w:rsidR="00F87CA6" w:rsidRPr="00A42ABD" w:rsidRDefault="00F87CA6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Wyjaśnienie:</w:t>
      </w:r>
    </w:p>
    <w:p w14:paraId="5C96F0EE" w14:textId="53F269CB" w:rsidR="00930AD0" w:rsidRPr="00A42ABD" w:rsidRDefault="00930AD0" w:rsidP="00930AD0">
      <w:pPr>
        <w:spacing w:after="120"/>
        <w:jc w:val="both"/>
        <w:rPr>
          <w:rFonts w:asciiTheme="minorHAnsi" w:hAnsiTheme="minorHAnsi" w:cstheme="minorHAnsi"/>
          <w:color w:val="0A0A0A"/>
          <w:sz w:val="22"/>
          <w:szCs w:val="22"/>
        </w:rPr>
      </w:pPr>
      <w:r w:rsidRPr="00A42ABD">
        <w:rPr>
          <w:rFonts w:asciiTheme="minorHAnsi" w:hAnsiTheme="minorHAnsi" w:cstheme="minorHAnsi"/>
          <w:sz w:val="22"/>
          <w:szCs w:val="22"/>
        </w:rPr>
        <w:t xml:space="preserve">Zamawiający dopuszcza instalację hydrauliczną dwukierunkową na ramieniu, pod warunkiem że będzie ona sterowana proporcjonalnie za pomocą przesuwek w joystickach oraz schowana w ramieniu, zgodnie </w:t>
      </w:r>
      <w:r w:rsidR="00A42ABD">
        <w:rPr>
          <w:rFonts w:asciiTheme="minorHAnsi" w:hAnsiTheme="minorHAnsi" w:cstheme="minorHAnsi"/>
          <w:sz w:val="22"/>
          <w:szCs w:val="22"/>
        </w:rPr>
        <w:br/>
      </w:r>
      <w:r w:rsidRPr="00A42ABD">
        <w:rPr>
          <w:rFonts w:asciiTheme="minorHAnsi" w:hAnsiTheme="minorHAnsi" w:cstheme="minorHAnsi"/>
          <w:sz w:val="22"/>
          <w:szCs w:val="22"/>
        </w:rPr>
        <w:t>z wymaganiami określonymi w SWZ.</w:t>
      </w:r>
    </w:p>
    <w:p w14:paraId="60548BD2" w14:textId="77777777" w:rsidR="00F87CA6" w:rsidRPr="00A42ABD" w:rsidRDefault="00F87CA6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5BAB2CF9" w14:textId="1ABFAB2C" w:rsidR="000D195C" w:rsidRPr="00A42ABD" w:rsidRDefault="000D195C" w:rsidP="000D195C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3:</w:t>
      </w:r>
    </w:p>
    <w:p w14:paraId="3932EA5F" w14:textId="38670F37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Czy Zamawiający dopuści w postępowaniu nowoczesną minikoparkę, która jest wyposażona w wysokiej klasy, niezawodny silnik innego producenta, montowany w maszynie seryjnie i fabrycznie?</w:t>
      </w:r>
    </w:p>
    <w:p w14:paraId="299BE46D" w14:textId="6696CE22" w:rsidR="00930AD0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A42ABD">
        <w:rPr>
          <w:rFonts w:asciiTheme="minorHAnsi" w:hAnsiTheme="minorHAnsi" w:cstheme="minorHAnsi"/>
        </w:rPr>
        <w:t xml:space="preserve">Uzasadnienie: Jako przykład wskazujemy model CASE CX17D, w którym fabrycznie instalowany jest silnik renomowanej marki Yanmar. Współczesny rynek w tym segmencie charakteryzuje się tym, że wiodący </w:t>
      </w:r>
      <w:r w:rsidRPr="00A42ABD">
        <w:rPr>
          <w:rFonts w:asciiTheme="minorHAnsi" w:hAnsiTheme="minorHAnsi" w:cstheme="minorHAnsi"/>
        </w:rPr>
        <w:br/>
        <w:t xml:space="preserve">światowi producenci integrują w swoich konstrukcjach wyspecjalizowane, zewnętrzne jednostki napędowe, co zapewnia najwyższą kulturę pracy oraz globalną dostępność do części zamiennych. Sztywny </w:t>
      </w:r>
      <w:r w:rsidRPr="00A42ABD">
        <w:rPr>
          <w:rFonts w:asciiTheme="minorHAnsi" w:hAnsiTheme="minorHAnsi" w:cstheme="minorHAnsi"/>
          <w:lang w:eastAsia="pl-PL"/>
        </w:rPr>
        <w:t xml:space="preserve">wymóg </w:t>
      </w:r>
      <w:r w:rsidRPr="00A42ABD">
        <w:rPr>
          <w:rFonts w:asciiTheme="minorHAnsi" w:hAnsiTheme="minorHAnsi" w:cstheme="minorHAnsi"/>
          <w:lang w:eastAsia="pl-PL"/>
        </w:rPr>
        <w:br/>
        <w:t>tożsamości marek eliminuje wiele cenionych rozwiązań.</w:t>
      </w:r>
    </w:p>
    <w:p w14:paraId="6A82FFDF" w14:textId="77777777" w:rsidR="00277E5B" w:rsidRPr="00A42ABD" w:rsidRDefault="00277E5B" w:rsidP="00115C0C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526B4A51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Wyjaśnienie:</w:t>
      </w:r>
    </w:p>
    <w:p w14:paraId="32C5C626" w14:textId="635ECD1E" w:rsidR="001D2B1D" w:rsidRPr="00A42ABD" w:rsidRDefault="001D2B1D" w:rsidP="00115C0C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dopuszcza silnik innego producenta niż producent maszyny, pod </w:t>
      </w:r>
      <w:r w:rsidR="00510E8F" w:rsidRPr="00A42ABD">
        <w:rPr>
          <w:rFonts w:asciiTheme="minorHAnsi" w:hAnsiTheme="minorHAnsi" w:cstheme="minorHAnsi"/>
        </w:rPr>
        <w:t>warunkiem,</w:t>
      </w:r>
      <w:r w:rsidRPr="00A42ABD">
        <w:rPr>
          <w:rFonts w:asciiTheme="minorHAnsi" w:hAnsiTheme="minorHAnsi" w:cstheme="minorHAnsi"/>
        </w:rPr>
        <w:t xml:space="preserve"> że silnik jest montowany seryjnie i fabrycznie oraz spełnia wszystkie wymagania określone w SWZ, w szczególności: silnik wysokoprężny, chłodzony wodą, 3-cylindrowy, o mocy minimum 15,7 KM i spełniający normę emisji spalin co najmniej Stage V.</w:t>
      </w:r>
    </w:p>
    <w:p w14:paraId="48E8D8C6" w14:textId="77777777" w:rsidR="001D2B1D" w:rsidRPr="00A42ABD" w:rsidRDefault="001D2B1D" w:rsidP="00115C0C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746362FD" w14:textId="69DF279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lastRenderedPageBreak/>
        <w:t>Treść zapytania nr 4:</w:t>
      </w:r>
    </w:p>
    <w:p w14:paraId="23E17609" w14:textId="74D27B80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Zamawiający, mając na celu zapewnienie optymalnej konkurencyjności, wyrazi zgodę na korektę tego parametru i dopuści minikoparkę o wysokości całkowitej z kabiną wynoszącej maksymalnie 2370 mm </w:t>
      </w:r>
      <w:r w:rsidRPr="00A42ABD">
        <w:rPr>
          <w:rFonts w:asciiTheme="minorHAnsi" w:hAnsiTheme="minorHAnsi" w:cstheme="minorHAnsi"/>
        </w:rPr>
        <w:br/>
        <w:t>(w miejsce wymaganych max. 2350 mm)?</w:t>
      </w:r>
    </w:p>
    <w:p w14:paraId="1839B984" w14:textId="59F9A1C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Uzasadnienie: Różnica wynosząca zaledwie 20 mm (2 cm) pozostaje bez jakiegokolwiek wpływu </w:t>
      </w:r>
      <w:r w:rsidRPr="00A42ABD">
        <w:rPr>
          <w:rFonts w:asciiTheme="minorHAnsi" w:hAnsiTheme="minorHAnsi" w:cstheme="minorHAnsi"/>
        </w:rPr>
        <w:br/>
        <w:t xml:space="preserve">operacyjnego, transportowego czy logistycznego. Jej uwzględnienie pozwoli jednak na zaoferowanie </w:t>
      </w:r>
      <w:r w:rsidRPr="00A42ABD">
        <w:rPr>
          <w:rFonts w:asciiTheme="minorHAnsi" w:hAnsiTheme="minorHAnsi" w:cstheme="minorHAnsi"/>
        </w:rPr>
        <w:br/>
        <w:t xml:space="preserve">fabrycznie nowej maszyny wyposażonej w bezpieczną i w pełni komfortową kabinę spełniającą </w:t>
      </w:r>
      <w:r w:rsidRPr="00A42ABD">
        <w:rPr>
          <w:rFonts w:asciiTheme="minorHAnsi" w:hAnsiTheme="minorHAnsi" w:cstheme="minorHAnsi"/>
        </w:rPr>
        <w:br/>
        <w:t>rygorystyczne normy ROPS/TOPS.</w:t>
      </w:r>
    </w:p>
    <w:p w14:paraId="73BC7A89" w14:textId="54DC70EE" w:rsidR="00277E5B" w:rsidRPr="00A42ABD" w:rsidRDefault="00277E5B" w:rsidP="00115C0C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60BA1AB8" w14:textId="7669B280" w:rsidR="001D2B1D" w:rsidRPr="00A42ABD" w:rsidRDefault="001D2B1D" w:rsidP="00115C0C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099ADF98" w14:textId="77777777" w:rsidR="001D2B1D" w:rsidRPr="00A42ABD" w:rsidRDefault="001D2B1D" w:rsidP="00115C0C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Zamawiający nie wyraża zgody. Zamawiający podtrzymuje wymaganie maksymalnej wysokości całkowitej maszyny z kabiną wynoszącej 2350 mm.</w:t>
      </w:r>
    </w:p>
    <w:p w14:paraId="7C409465" w14:textId="77777777" w:rsidR="001D2B1D" w:rsidRPr="00A42ABD" w:rsidRDefault="001D2B1D" w:rsidP="00115C0C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41CA1F08" w14:textId="0595D01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5:</w:t>
      </w:r>
    </w:p>
    <w:p w14:paraId="236E5DF5" w14:textId="017B20C1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 dopuści konstrukcję o parametrach kąta obrotu wysięgnika wynoszących minimum 67° </w:t>
      </w:r>
      <w:r w:rsidRPr="00A42ABD">
        <w:rPr>
          <w:rFonts w:asciiTheme="minorHAnsi" w:hAnsiTheme="minorHAnsi" w:cstheme="minorHAnsi"/>
        </w:rPr>
        <w:br/>
        <w:t>w lewo oraz minimum 60° w prawo (w miejsce oczekiwanych min. 76/60°)?</w:t>
      </w:r>
    </w:p>
    <w:p w14:paraId="487D1B99" w14:textId="3A419AF8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Uzasadnienie: Wskazany zakres (charakterystyczny dla modelu CASE CX17D) stanowi standard techniczny dla zaawansowanych maszyn w tej klasie wagowej. Gwarantuje on pełną funkcjonalność, zwrotność oraz wysoką wydajność podczas realizacji precyzyjnych prac w ciasnych przestrzeniach i wykopach liniowych.</w:t>
      </w:r>
    </w:p>
    <w:p w14:paraId="7A358CAD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2D9199F3" w14:textId="1C2AF5A5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38490535" w14:textId="77777777" w:rsidR="00781DEB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Zamawiający</w:t>
      </w:r>
      <w:r w:rsidR="00781DEB">
        <w:rPr>
          <w:rFonts w:asciiTheme="minorHAnsi" w:hAnsiTheme="minorHAnsi" w:cstheme="minorHAnsi"/>
        </w:rPr>
        <w:t xml:space="preserve"> podtrzymuje wymagania określone w SWZ.</w:t>
      </w:r>
    </w:p>
    <w:p w14:paraId="01F8014B" w14:textId="58962F03" w:rsidR="00781DEB" w:rsidRDefault="00781DEB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Jednocześnie Zamawiający dostrzegł omyłkę w załączniku nr 2 do SWZ stanowiącym przedmiotowy środek dowodowy, w którym był zapis o brzmieniu „minimalny kąt obrotu z przodu z wychyleniem wysięgnika </w:t>
      </w:r>
      <w:r>
        <w:rPr>
          <w:rFonts w:asciiTheme="minorHAnsi" w:hAnsiTheme="minorHAnsi" w:cstheme="minorHAnsi"/>
        </w:rPr>
        <w:br/>
        <w:t>(w lewo/w prawo): min. 76/60</w:t>
      </w:r>
      <w:r w:rsidRPr="00781DEB">
        <w:rPr>
          <w:rFonts w:asciiTheme="minorHAnsi" w:hAnsiTheme="minorHAnsi" w:cstheme="minorHAnsi"/>
        </w:rPr>
        <w:t>°</w:t>
      </w:r>
      <w:r>
        <w:rPr>
          <w:rFonts w:asciiTheme="minorHAnsi" w:hAnsiTheme="minorHAnsi" w:cstheme="minorHAnsi"/>
        </w:rPr>
        <w:t>” i dokonuje zmiany tego zapisu na treść następującą, tożsamą z opisem przedmiotu zamówienia zawartym w SWZ:</w:t>
      </w:r>
    </w:p>
    <w:p w14:paraId="381443AF" w14:textId="0C7E259E" w:rsidR="00781DEB" w:rsidRPr="00781DEB" w:rsidRDefault="00781DEB" w:rsidP="001D2B1D">
      <w:pPr>
        <w:pStyle w:val="Bezodstpw"/>
        <w:spacing w:after="120"/>
        <w:jc w:val="both"/>
        <w:rPr>
          <w:rFonts w:asciiTheme="minorHAnsi" w:hAnsiTheme="minorHAnsi" w:cstheme="minorHAnsi"/>
          <w:b/>
          <w:bCs/>
        </w:rPr>
      </w:pPr>
      <w:r w:rsidRPr="00781DEB">
        <w:rPr>
          <w:rFonts w:asciiTheme="minorHAnsi" w:hAnsiTheme="minorHAnsi" w:cstheme="minorHAnsi"/>
          <w:b/>
          <w:bCs/>
        </w:rPr>
        <w:t>„</w:t>
      </w:r>
      <w:r w:rsidRPr="00781DEB">
        <w:rPr>
          <w:rFonts w:asciiTheme="minorHAnsi" w:hAnsiTheme="minorHAnsi" w:cstheme="minorHAnsi"/>
          <w:b/>
          <w:bCs/>
        </w:rPr>
        <w:t>minimalny kąt obrotu z przodu z wychyleniem wysięgnika (w lewo/w prawo): min. 7</w:t>
      </w:r>
      <w:r w:rsidRPr="00781DEB">
        <w:rPr>
          <w:rFonts w:asciiTheme="minorHAnsi" w:hAnsiTheme="minorHAnsi" w:cstheme="minorHAnsi"/>
          <w:b/>
          <w:bCs/>
        </w:rPr>
        <w:t>5</w:t>
      </w:r>
      <w:r w:rsidRPr="00781DEB">
        <w:rPr>
          <w:rFonts w:asciiTheme="minorHAnsi" w:hAnsiTheme="minorHAnsi" w:cstheme="minorHAnsi"/>
          <w:b/>
          <w:bCs/>
        </w:rPr>
        <w:t>/60°”</w:t>
      </w:r>
    </w:p>
    <w:p w14:paraId="454BE43A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21741B42" w14:textId="6EBB3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6:</w:t>
      </w:r>
    </w:p>
    <w:p w14:paraId="25D4D5F1" w14:textId="7DAF541F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 dopuści urządzenie oparte na technologii jednej wielosekcyjnej pompy tłoczkowej </w:t>
      </w:r>
      <w:r w:rsidRPr="00A42ABD">
        <w:rPr>
          <w:rFonts w:asciiTheme="minorHAnsi" w:hAnsiTheme="minorHAnsi" w:cstheme="minorHAnsi"/>
        </w:rPr>
        <w:br/>
        <w:t>o zmiennej wydajności, współpracującej z układem hydraulicznym typu Load Sensing oraz rozdzielaczem Flow Sharing (w miejsce wymogu min. 2 szt. pomp)?</w:t>
      </w:r>
    </w:p>
    <w:p w14:paraId="2DAE61BE" w14:textId="360519D1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Uzasadnienie: Obecne trendy inżynieryjne odchodzą od stosowania dwóch fizycznie oddzielnych pomp na rzecz pojedynczych, zaawansowanych jednostek zintegrowanych z systemem podziału strumienia oleju. Rozwiązanie to zapewnia pełną niezależność ruchów roboczych i najwyższą płynność sterowania bez strat energii, przez co technologicznie przewyższa tradycyjne układy wielopompowe.</w:t>
      </w:r>
    </w:p>
    <w:p w14:paraId="5C97962D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62C9A6FC" w14:textId="7B88CB36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042A0C2E" w14:textId="08C3DD8F" w:rsidR="001D2B1D" w:rsidRPr="00A42ABD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nie wyraża zgody. Zamawiający podtrzymuje wymaganie zastosowania minimum dwóch pomp o zmiennym wydatku oraz minimum jednej pompy zębatej, przy całkowitym przepływie </w:t>
      </w:r>
      <w:r w:rsidR="00434AE5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hydraulicznym minimum 27 l/min.</w:t>
      </w:r>
    </w:p>
    <w:p w14:paraId="1B5FE11B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3B3001F6" w14:textId="0773D325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7:</w:t>
      </w:r>
    </w:p>
    <w:p w14:paraId="050D6686" w14:textId="3507E5C7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Czy Zamawiający wyrazi zgodę na nieznaczną zmianę tego kryterium i dopuści maszynę, której ciśnienie na pompie zębatej wynosi minimum 20,5 MPa (w miejsce oczekiwanych min. 20,6 MPa)?</w:t>
      </w:r>
    </w:p>
    <w:p w14:paraId="164187C9" w14:textId="394B210F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lastRenderedPageBreak/>
        <w:t xml:space="preserve">Uzasadnienie: Różnica na poziomie 0,1 MPa (wynosząca zaledwie 1 bar) ma wymiar czysto formalny </w:t>
      </w:r>
      <w:r w:rsidRPr="00A42ABD">
        <w:rPr>
          <w:rFonts w:asciiTheme="minorHAnsi" w:hAnsiTheme="minorHAnsi" w:cstheme="minorHAnsi"/>
        </w:rPr>
        <w:br/>
        <w:t>i statystyczny. Nie wpływa ona w żaden sposób na realną siłę skrawania ani na parametry użytkowe układu podczas codziennej eksploatacji.</w:t>
      </w:r>
    </w:p>
    <w:p w14:paraId="2B8C9742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73A0320A" w14:textId="796A43E9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5E05EA44" w14:textId="77777777" w:rsidR="001D2B1D" w:rsidRPr="00A42ABD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Zamawiający nie wyraża zgody. Zamawiający podtrzymuje wymagane minimalne ciśnienie hydrauliczne pompy zębatej wynoszące 20,6 MPa.</w:t>
      </w:r>
    </w:p>
    <w:p w14:paraId="26E6E533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0727CCB8" w14:textId="276130CF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8:</w:t>
      </w:r>
    </w:p>
    <w:p w14:paraId="690FAD40" w14:textId="4990C3BC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Czy dopuszczalna będzie minikoparka charakteryzująca się siłą kopania na łyżce na poziomie minimum 15,0 kN / 1500 daN (w miejsce oczekiwanych min. 15,9 kN)?</w:t>
      </w:r>
    </w:p>
    <w:p w14:paraId="592E3FBC" w14:textId="499617E2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Uzasadnienie: Wartość 15,0 kN jest w pełni optymalnym parametrem dla sprzętu w tej kategorii wagowej. W połączeniu z nowoczesną geometrią wysięgnika pozwala na sprawne odspajanie gruntu i zapewnia </w:t>
      </w:r>
      <w:r w:rsidRPr="00A42ABD">
        <w:rPr>
          <w:rFonts w:asciiTheme="minorHAnsi" w:hAnsiTheme="minorHAnsi" w:cstheme="minorHAnsi"/>
        </w:rPr>
        <w:br/>
        <w:t>wysoką efektywność pracy w zróżnicowanych</w:t>
      </w:r>
      <w:r w:rsidR="004F0D5E" w:rsidRPr="00A42ABD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>warunkach terenowych.</w:t>
      </w:r>
    </w:p>
    <w:p w14:paraId="37202A27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1216FE77" w14:textId="44E85ACA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2DEC2A58" w14:textId="5D177BBB" w:rsidR="001D2B1D" w:rsidRPr="00A42ABD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nie wyraża zgody. Zamawiający podtrzymuje wymaganą minimalną siłę kopania na łyżce </w:t>
      </w:r>
      <w:r w:rsidR="00434AE5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 xml:space="preserve">wynoszącą 15,9 </w:t>
      </w:r>
      <w:proofErr w:type="spellStart"/>
      <w:r w:rsidRPr="00A42ABD">
        <w:rPr>
          <w:rFonts w:asciiTheme="minorHAnsi" w:hAnsiTheme="minorHAnsi" w:cstheme="minorHAnsi"/>
        </w:rPr>
        <w:t>kN</w:t>
      </w:r>
      <w:proofErr w:type="spellEnd"/>
      <w:r w:rsidRPr="00A42ABD">
        <w:rPr>
          <w:rFonts w:asciiTheme="minorHAnsi" w:hAnsiTheme="minorHAnsi" w:cstheme="minorHAnsi"/>
        </w:rPr>
        <w:t>.</w:t>
      </w:r>
    </w:p>
    <w:p w14:paraId="0BD70A62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784DE0BF" w14:textId="3B94A7D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9:</w:t>
      </w:r>
    </w:p>
    <w:p w14:paraId="084D52CA" w14:textId="5D7B4902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Czy Zamawiający dopuści maszynę, w której dwukierunkowa instalacja pomocnicza poprowadzona jest na zewnętrznej stronie ramienia w fabrycznych osłonach o wysokiej wytrzymałości?</w:t>
      </w:r>
    </w:p>
    <w:p w14:paraId="06A33C53" w14:textId="70CF5B4D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Uzasadnienie: Lokowanie przewodów w zewnętrznych pancerzach ochronnych (rozwiązanie stosowane m.in. w CASE CX17D) znacząco ułatwia codzienną kontrolę wzrokową stanu technicznego pod kątem </w:t>
      </w:r>
      <w:r w:rsidRPr="00A42ABD">
        <w:rPr>
          <w:rFonts w:asciiTheme="minorHAnsi" w:hAnsiTheme="minorHAnsi" w:cstheme="minorHAnsi"/>
        </w:rPr>
        <w:br/>
        <w:t>wycieków. Dodatkowo, w razie uszkodzenia mechanicznego, umożliwia to natychmiastową wymianę węża w warunkach polowych, bez czasochłonnego demontażu elementów konstrukcyjnych ramienia.</w:t>
      </w:r>
    </w:p>
    <w:p w14:paraId="23801BA7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2E6D8DFF" w14:textId="0332534E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279589F9" w14:textId="7351FDBB" w:rsidR="001D2B1D" w:rsidRPr="00A42ABD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nie wyraża zgody. Zgodnie z </w:t>
      </w:r>
      <w:r w:rsidR="00B57FE8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>SWZ instalacja hydrauliczna dwukierunkowa ma być schowana w ramieniu.</w:t>
      </w:r>
    </w:p>
    <w:p w14:paraId="58E36292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65877F6F" w14:textId="5CEF1EBF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10:</w:t>
      </w:r>
    </w:p>
    <w:p w14:paraId="3635C74A" w14:textId="4422898E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 wyrazi zgodę na obniżenie wymogu maksymalnej głębokości kopania do poziomu </w:t>
      </w:r>
      <w:r w:rsidRPr="00A42ABD">
        <w:rPr>
          <w:rFonts w:asciiTheme="minorHAnsi" w:hAnsiTheme="minorHAnsi" w:cstheme="minorHAnsi"/>
        </w:rPr>
        <w:br/>
        <w:t>minimum 2220 mm (w miejsce oczekiwanych min. 2580 mm)?</w:t>
      </w:r>
    </w:p>
    <w:p w14:paraId="1D40E922" w14:textId="53BCB55B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Uzasadnienie: Głębokość rzędu 2220 mm jest standardową i całkowicie wystarczającą wartością dla sprzętu tej wielkości. Pozwala ona na bezproblemową realizację zdecydowanej większości zadań przyłączeniowych, wykopów pod instalacje czy prac fundamentowych, gwarantując jednocześnie zachowanie idealnego środka ciężkości i stabilności maszyny.</w:t>
      </w:r>
    </w:p>
    <w:p w14:paraId="7F8B4081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76910D05" w14:textId="0C9362D9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0151CB0F" w14:textId="2B7FE8B2" w:rsidR="001D2B1D" w:rsidRPr="00A42ABD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nie wyraża zgody. Zamawiający podtrzymuje wymaganą minimalną głębokość kopania </w:t>
      </w:r>
      <w:r w:rsidR="00B57FE8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wynoszącą 2580 mm.</w:t>
      </w:r>
    </w:p>
    <w:p w14:paraId="0A8A4CCA" w14:textId="77777777" w:rsidR="001D2B1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27F55E27" w14:textId="77777777" w:rsidR="006F2C80" w:rsidRDefault="006F2C80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5E70607C" w14:textId="77777777" w:rsidR="006F2C80" w:rsidRPr="00A42ABD" w:rsidRDefault="006F2C80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005693DF" w14:textId="2C4B3B50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lastRenderedPageBreak/>
        <w:t>Treść zapytania nr 11:</w:t>
      </w:r>
    </w:p>
    <w:p w14:paraId="3ACAF614" w14:textId="4B075415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Czy Zamawiający dopuści wyposażenie maszyny w szybkozłącze mechaniczne (półautomatyczne/</w:t>
      </w:r>
      <w:r w:rsidRPr="00A42ABD">
        <w:rPr>
          <w:rFonts w:asciiTheme="minorHAnsi" w:hAnsiTheme="minorHAnsi" w:cstheme="minorHAnsi"/>
        </w:rPr>
        <w:br/>
        <w:t>sworzniowe) w miejsce osprzętu uruchamianego hydraulicznie?</w:t>
      </w:r>
    </w:p>
    <w:p w14:paraId="6F70EBE9" w14:textId="1494357C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Uzasadnienie: W klasie maszyn poniżej 2 ton dodatkowa instalacja i siłownik hydrauliczny na końcu </w:t>
      </w:r>
      <w:r w:rsidRPr="00A42ABD">
        <w:rPr>
          <w:rFonts w:asciiTheme="minorHAnsi" w:hAnsiTheme="minorHAnsi" w:cstheme="minorHAnsi"/>
        </w:rPr>
        <w:br/>
        <w:t>ramienia generują zbędną masę własną, co bezpośrednio redukuje siłę udźwigu roboczego i odspajania. Ponieważ łyżki w tej klasie wagowej są lekkie, ich ręczna wymiana trwa zaledwie kilkadziesiąt sekund, co czyni skomplikowane układy hydrauliczne nieoptymalnymi i technicznie nieuzasadnionymi.</w:t>
      </w:r>
    </w:p>
    <w:p w14:paraId="3C2D8301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70385A7A" w14:textId="245359EC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1810BF6C" w14:textId="650EAE95" w:rsidR="001D2B1D" w:rsidRPr="00A42ABD" w:rsidRDefault="001D2B1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nie wyraża zgody. Zamawiający podtrzymuje wymaganie wyposażenia maszyny </w:t>
      </w:r>
      <w:r w:rsidR="00B57FE8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w szybkozłącze hydrauliczne.</w:t>
      </w:r>
    </w:p>
    <w:p w14:paraId="49116A52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616F18B3" w14:textId="7E5B63AD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12:</w:t>
      </w:r>
    </w:p>
    <w:p w14:paraId="354D23B5" w14:textId="3108FEF7" w:rsidR="001D2B1D" w:rsidRPr="00A42ABD" w:rsidRDefault="001D2B1D" w:rsidP="001D2B1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 dopuści zaoferowanie minikoparki, która nie posiada elektronicznego immobilizera </w:t>
      </w:r>
      <w:r w:rsidRPr="00A42ABD">
        <w:rPr>
          <w:rFonts w:asciiTheme="minorHAnsi" w:hAnsiTheme="minorHAnsi" w:cstheme="minorHAnsi"/>
        </w:rPr>
        <w:br/>
        <w:t>kodowanego w kluczyku, a w zamian jest wyposażona w fabryczną mechaniczną</w:t>
      </w:r>
      <w:r w:rsidRPr="00A42ABD">
        <w:rPr>
          <w:rFonts w:asciiTheme="minorHAnsi" w:hAnsiTheme="minorHAnsi" w:cstheme="minorHAnsi"/>
        </w:rPr>
        <w:br/>
        <w:t>blokadę stacyjki oraz mechaniczny, główny wyłącznik prądu (odłącznik akumulatora)?</w:t>
      </w:r>
    </w:p>
    <w:p w14:paraId="04B3C241" w14:textId="5A27F57F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Uzasadnienie: Oferowana maszyna celowo pozbawiona jest skomplikowanego, elektronicznego </w:t>
      </w:r>
      <w:r w:rsidRPr="00A42ABD">
        <w:rPr>
          <w:rFonts w:asciiTheme="minorHAnsi" w:hAnsiTheme="minorHAnsi" w:cstheme="minorHAnsi"/>
        </w:rPr>
        <w:br/>
        <w:t>immobilizera cyfrowego. Systemy te w trudnych warunkach środowiskowych (wilgoć, zapylenie, skrajne temperatury panujące na placach budowy)</w:t>
      </w:r>
      <w:r w:rsidR="005F59ED" w:rsidRPr="00A42ABD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 xml:space="preserve">bywają zawodne, a ich awaria skutkuje nagłym, losowym </w:t>
      </w:r>
      <w:r w:rsidR="005F59ED" w:rsidRPr="00A42ABD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i kosztownym</w:t>
      </w:r>
      <w:r w:rsidR="005F59ED" w:rsidRPr="00A42ABD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>unieruchomieniem maszyny, wymagającym interwencji serwisu fabrycznego. W</w:t>
      </w:r>
      <w:r w:rsidR="005F59ED" w:rsidRPr="00A42ABD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 xml:space="preserve">zamian </w:t>
      </w:r>
      <w:r w:rsidR="005F59ED" w:rsidRPr="00A42ABD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maszyna posiada w 100% bezawaryjną, mechaniczną ochronę (fabryczna</w:t>
      </w:r>
      <w:r w:rsidR="005F59ED" w:rsidRPr="00A42ABD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>blokada stacyjki oraz odłącznik prądu), która skutecznie uniemożliwia uruchomienie</w:t>
      </w:r>
      <w:r w:rsidR="005F59ED" w:rsidRPr="00A42ABD">
        <w:rPr>
          <w:rFonts w:asciiTheme="minorHAnsi" w:hAnsiTheme="minorHAnsi" w:cstheme="minorHAnsi"/>
        </w:rPr>
        <w:t xml:space="preserve"> </w:t>
      </w:r>
      <w:r w:rsidRPr="00A42ABD">
        <w:rPr>
          <w:rFonts w:asciiTheme="minorHAnsi" w:hAnsiTheme="minorHAnsi" w:cstheme="minorHAnsi"/>
        </w:rPr>
        <w:t xml:space="preserve">pojazdu przez osoby nieuprawnione, eliminując </w:t>
      </w:r>
      <w:r w:rsidR="005F59ED" w:rsidRPr="00A42ABD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jednocześnie ryzyko awarii elektroniki</w:t>
      </w:r>
      <w:r w:rsidR="005F59ED" w:rsidRPr="00A42ABD">
        <w:rPr>
          <w:rFonts w:asciiTheme="minorHAnsi" w:hAnsiTheme="minorHAnsi" w:cstheme="minorHAnsi"/>
        </w:rPr>
        <w:t>.</w:t>
      </w:r>
    </w:p>
    <w:p w14:paraId="4545244D" w14:textId="77777777" w:rsidR="005F59ED" w:rsidRPr="00A42ABD" w:rsidRDefault="005F59E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5F6B97A5" w14:textId="2B07EADE" w:rsidR="005F59ED" w:rsidRPr="00A42ABD" w:rsidRDefault="005F59E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0AAC08D1" w14:textId="77777777" w:rsidR="005F59ED" w:rsidRPr="00A42ABD" w:rsidRDefault="005F59E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Zamawiający nie wyraża zgody. Zamawiający podtrzymuje wymaganie wyposażenia maszyny w system antykradzieżowy (immobilizer). Mechaniczna blokada stacyjki i główny wyłącznik prądu nie zastępują wymaganego immobilizera.</w:t>
      </w:r>
    </w:p>
    <w:p w14:paraId="647C74A3" w14:textId="77777777" w:rsidR="005F59ED" w:rsidRPr="00A42ABD" w:rsidRDefault="005F59E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14014A5E" w14:textId="5037BE4F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13:</w:t>
      </w:r>
    </w:p>
    <w:p w14:paraId="20AF4728" w14:textId="4765E86A" w:rsidR="005F59ED" w:rsidRPr="00A42ABD" w:rsidRDefault="005F59ED" w:rsidP="005F59E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 dopuści zaoferowanie minikoparki ze standardowym, sztywnym szybkozłączem </w:t>
      </w:r>
      <w:r w:rsidRPr="00A42ABD">
        <w:rPr>
          <w:rFonts w:asciiTheme="minorHAnsi" w:hAnsiTheme="minorHAnsi" w:cstheme="minorHAnsi"/>
        </w:rPr>
        <w:br/>
        <w:t>do wymiany łyżek, bez konieczności stosowania złącza uchylnego typu Tilt?</w:t>
      </w:r>
    </w:p>
    <w:p w14:paraId="6C382494" w14:textId="6870A704" w:rsidR="001D2B1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Uzasadnienie: Podobnie jak w przypadku szybkozłączy hydraulicznych, mechanizm uchylny mocno dociąża koniec ramienia i drastycznie ogranicza parametry udźwigu tak małej maszyny. Wszelkie zaawansowane zadania profilowania terenu i skarpowania pod kątem mogą być z powodzeniem i o wiele taniej realizowane za pomocą standardowej hydraulicznej łyżki skarpowej.</w:t>
      </w:r>
    </w:p>
    <w:p w14:paraId="5153B495" w14:textId="77777777" w:rsidR="001D2B1D" w:rsidRPr="00A42ABD" w:rsidRDefault="001D2B1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464F78DF" w14:textId="3D45305C" w:rsidR="005F59ED" w:rsidRPr="00A42ABD" w:rsidRDefault="005F59ED" w:rsidP="001D2B1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66CD0D9D" w14:textId="77777777" w:rsidR="005F59ED" w:rsidRPr="00A42ABD" w:rsidRDefault="005F59ED" w:rsidP="001D2B1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Zamawiający nie wyraża zgody. Zamawiający podtrzymuje wymaganie wyposażenia oferowanego osprzętu w złącze uchylne.</w:t>
      </w:r>
    </w:p>
    <w:p w14:paraId="2ED24349" w14:textId="77777777" w:rsidR="005F59ED" w:rsidRPr="00A42ABD" w:rsidRDefault="005F59ED" w:rsidP="001D2B1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17BA9805" w14:textId="3A89A520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14:</w:t>
      </w:r>
    </w:p>
    <w:p w14:paraId="08201CA7" w14:textId="20746C0D" w:rsidR="005F59ED" w:rsidRPr="00A42ABD" w:rsidRDefault="005F59ED" w:rsidP="005F59E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>Czy Zamawiający wyrazi zgodę na modyfikację tego parametru poprzez dopuszczenie maszyny z ramieniem roboczym o długości minimum 1150 mm (w miejsce wymaganych min. 1190 mm)?</w:t>
      </w:r>
    </w:p>
    <w:p w14:paraId="35FF0B49" w14:textId="6874E9B1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lastRenderedPageBreak/>
        <w:t xml:space="preserve">Uzasadnienie: Różnica na poziomie 40 mm (4 cm) jest minimalna i nie ogranicza w żaden sposób zdolności operacyjnych maszyny. Zastosowanie ramienia o długości 1150 mm pozwala na zachowanie doskonałych sił odspajania na łyżce, co bezpośrednio przekłada się na wyższą efektywność pracy w twardym gruncie </w:t>
      </w:r>
      <w:r w:rsidRPr="00A42ABD">
        <w:rPr>
          <w:rFonts w:asciiTheme="minorHAnsi" w:hAnsiTheme="minorHAnsi" w:cstheme="minorHAnsi"/>
        </w:rPr>
        <w:br/>
        <w:t>i mniejsze obciążenie zmęczeniowe konstrukcji.</w:t>
      </w:r>
    </w:p>
    <w:p w14:paraId="7F5E1A7B" w14:textId="77777777" w:rsidR="005F59E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0FB30A7C" w14:textId="67D5A1E0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3E076529" w14:textId="69B25184" w:rsidR="005F59ED" w:rsidRPr="00A42ABD" w:rsidRDefault="005F59ED" w:rsidP="005F59ED">
      <w:pPr>
        <w:pStyle w:val="Bezodstpw"/>
        <w:spacing w:after="120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Zamawiający nie wyraża zgody. Zamawiający podtrzymuje wymaganą minimalną długość ramienia </w:t>
      </w:r>
      <w:r w:rsidR="00404EBD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roboczego wynoszącą 1190 mm.</w:t>
      </w:r>
    </w:p>
    <w:p w14:paraId="44FD89AC" w14:textId="77777777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668C7659" w14:textId="1911D4AB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15:</w:t>
      </w:r>
    </w:p>
    <w:p w14:paraId="7259288B" w14:textId="2C6AEBC1" w:rsidR="005F59ED" w:rsidRPr="00A42ABD" w:rsidRDefault="005F59ED" w:rsidP="005F59ED">
      <w:pPr>
        <w:pStyle w:val="Bezodstpw"/>
        <w:spacing w:after="240"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Czy Zamawiający, w celu dopuszczenia nowoczesnych i zoptymalizowanych konstrukcyjnie maszyn, dopuści minikoparkę, w której całkowita pojemność układu hydraulicznego wynosi minimum 29 litrów, przy </w:t>
      </w:r>
      <w:r w:rsidRPr="00A42ABD">
        <w:rPr>
          <w:rFonts w:asciiTheme="minorHAnsi" w:hAnsiTheme="minorHAnsi" w:cstheme="minorHAnsi"/>
        </w:rPr>
        <w:br/>
        <w:t>pojemności samego zbiornika hydraulicznego na poziomie 20 litrów?</w:t>
      </w:r>
    </w:p>
    <w:p w14:paraId="413FB38B" w14:textId="26DEB8D2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42ABD">
        <w:rPr>
          <w:rFonts w:asciiTheme="minorHAnsi" w:hAnsiTheme="minorHAnsi" w:cstheme="minorHAnsi"/>
        </w:rPr>
        <w:t xml:space="preserve">Uzasadnienie: Kluczowym parametrem decydującym o prawidłowym chłodzeniu układu, odporności na </w:t>
      </w:r>
      <w:r w:rsidRPr="00A42ABD">
        <w:rPr>
          <w:rFonts w:asciiTheme="minorHAnsi" w:hAnsiTheme="minorHAnsi" w:cstheme="minorHAnsi"/>
        </w:rPr>
        <w:br/>
        <w:t xml:space="preserve">obciążenia termiczne oraz stabilności pracy osprzętu jest całkowita ilość oleju hydraulicznego krążącego </w:t>
      </w:r>
      <w:r w:rsidRPr="00A42ABD">
        <w:rPr>
          <w:rFonts w:asciiTheme="minorHAnsi" w:hAnsiTheme="minorHAnsi" w:cstheme="minorHAnsi"/>
        </w:rPr>
        <w:br/>
        <w:t>w całym systemie (węże, pompy, siłowniki, rozdzielacz), a nie wyłącznie gabaryt samej komory zbiornika. Rozwiązanie to (zastosowane m.in. w modelu CASE CX17D) pozwala na redukcję gabarytów maszyny przy jednoczesnym zapewnieniu optymalnej ilości medium roboczego (29 l), co w pełni zabezpiecza wymagania operacyjne i wydajnościowe Zamawiającego.</w:t>
      </w:r>
    </w:p>
    <w:p w14:paraId="4648CAEC" w14:textId="77777777" w:rsidR="005F59ED" w:rsidRPr="00A42ABD" w:rsidRDefault="005F59ED" w:rsidP="005F59E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10772394" w14:textId="0BF8A58D" w:rsidR="003776E5" w:rsidRPr="00A42ABD" w:rsidRDefault="003776E5" w:rsidP="005F59ED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  <w:b/>
          <w:bCs/>
        </w:rPr>
        <w:t>Wyjaśnienie:</w:t>
      </w:r>
    </w:p>
    <w:p w14:paraId="10EC1AB8" w14:textId="242195D1" w:rsidR="003776E5" w:rsidRPr="00A42ABD" w:rsidRDefault="003776E5" w:rsidP="005F59ED">
      <w:pPr>
        <w:pStyle w:val="Bezodstpw"/>
        <w:spacing w:after="120"/>
        <w:jc w:val="both"/>
        <w:rPr>
          <w:rFonts w:asciiTheme="minorHAnsi" w:hAnsiTheme="minorHAnsi" w:cstheme="minorHAnsi"/>
          <w:b/>
          <w:bCs/>
        </w:rPr>
      </w:pPr>
      <w:r w:rsidRPr="00A42ABD">
        <w:rPr>
          <w:rFonts w:asciiTheme="minorHAnsi" w:hAnsiTheme="minorHAnsi" w:cstheme="minorHAnsi"/>
        </w:rPr>
        <w:t xml:space="preserve">Zamawiający nie wyraża zgody. Zamawiający podtrzymuje wymaganie dotyczące pojemności zbiornika </w:t>
      </w:r>
      <w:r w:rsidR="00B57FE8">
        <w:rPr>
          <w:rFonts w:asciiTheme="minorHAnsi" w:hAnsiTheme="minorHAnsi" w:cstheme="minorHAnsi"/>
        </w:rPr>
        <w:br/>
      </w:r>
      <w:r w:rsidRPr="00A42ABD">
        <w:rPr>
          <w:rFonts w:asciiTheme="minorHAnsi" w:hAnsiTheme="minorHAnsi" w:cstheme="minorHAnsi"/>
        </w:rPr>
        <w:t>hydraulicznego wynoszącej minimum 28 l. Wskazana całkowita pojemność układu hydraulicznego nie jest tożsama z wymaganym parametrem pojemności zbiornika hydraulicznego.</w:t>
      </w:r>
    </w:p>
    <w:sectPr w:rsidR="003776E5" w:rsidRPr="00A42ABD" w:rsidSect="002C3D91">
      <w:headerReference w:type="default" r:id="rId10"/>
      <w:footerReference w:type="default" r:id="rId11"/>
      <w:pgSz w:w="11906" w:h="16838"/>
      <w:pgMar w:top="260" w:right="1133" w:bottom="426" w:left="1276" w:header="285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BDF7" w14:textId="77777777" w:rsidR="00353F9C" w:rsidRDefault="00353F9C">
      <w:r>
        <w:separator/>
      </w:r>
    </w:p>
  </w:endnote>
  <w:endnote w:type="continuationSeparator" w:id="0">
    <w:p w14:paraId="7DF14CF0" w14:textId="77777777" w:rsidR="00353F9C" w:rsidRDefault="0035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Yu Gothic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65FB" w14:textId="77777777" w:rsidR="00EB49FC" w:rsidRDefault="00EB49F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4A6D5" w14:textId="77777777" w:rsidR="00353F9C" w:rsidRDefault="00353F9C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2CF1280" w14:textId="77777777" w:rsidR="00353F9C" w:rsidRDefault="0035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6930" w14:textId="77777777" w:rsidR="00EB49FC" w:rsidRDefault="00EB49F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7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254437A"/>
    <w:multiLevelType w:val="multilevel"/>
    <w:tmpl w:val="9E5E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E864B6"/>
    <w:multiLevelType w:val="multilevel"/>
    <w:tmpl w:val="BFA0F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662461"/>
    <w:multiLevelType w:val="hybridMultilevel"/>
    <w:tmpl w:val="65E6A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4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5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6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0" w15:restartNumberingAfterBreak="0">
    <w:nsid w:val="3C234AC2"/>
    <w:multiLevelType w:val="hybridMultilevel"/>
    <w:tmpl w:val="6D7A5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6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7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8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D1F0A5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3978AC"/>
    <w:multiLevelType w:val="multilevel"/>
    <w:tmpl w:val="BFA0F58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3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4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7E6073B3"/>
    <w:multiLevelType w:val="multilevel"/>
    <w:tmpl w:val="EA90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181870">
    <w:abstractNumId w:val="1"/>
  </w:num>
  <w:num w:numId="2" w16cid:durableId="803157072">
    <w:abstractNumId w:val="2"/>
  </w:num>
  <w:num w:numId="3" w16cid:durableId="2117023764">
    <w:abstractNumId w:val="25"/>
  </w:num>
  <w:num w:numId="4" w16cid:durableId="517812546">
    <w:abstractNumId w:val="11"/>
  </w:num>
  <w:num w:numId="5" w16cid:durableId="1032269841">
    <w:abstractNumId w:val="18"/>
  </w:num>
  <w:num w:numId="6" w16cid:durableId="275521875">
    <w:abstractNumId w:val="26"/>
  </w:num>
  <w:num w:numId="7" w16cid:durableId="1377657524">
    <w:abstractNumId w:val="15"/>
  </w:num>
  <w:num w:numId="8" w16cid:durableId="1731922759">
    <w:abstractNumId w:val="33"/>
  </w:num>
  <w:num w:numId="9" w16cid:durableId="1622228760">
    <w:abstractNumId w:val="17"/>
  </w:num>
  <w:num w:numId="10" w16cid:durableId="741483683">
    <w:abstractNumId w:val="36"/>
  </w:num>
  <w:num w:numId="11" w16cid:durableId="1223520418">
    <w:abstractNumId w:val="16"/>
  </w:num>
  <w:num w:numId="12" w16cid:durableId="753937029">
    <w:abstractNumId w:val="6"/>
  </w:num>
  <w:num w:numId="13" w16cid:durableId="413554632">
    <w:abstractNumId w:val="3"/>
  </w:num>
  <w:num w:numId="14" w16cid:durableId="1097094498">
    <w:abstractNumId w:val="14"/>
  </w:num>
  <w:num w:numId="15" w16cid:durableId="452092273">
    <w:abstractNumId w:val="28"/>
  </w:num>
  <w:num w:numId="16" w16cid:durableId="51392522">
    <w:abstractNumId w:val="7"/>
  </w:num>
  <w:num w:numId="17" w16cid:durableId="986400529">
    <w:abstractNumId w:val="23"/>
  </w:num>
  <w:num w:numId="18" w16cid:durableId="267469377">
    <w:abstractNumId w:val="19"/>
  </w:num>
  <w:num w:numId="19" w16cid:durableId="1271208803">
    <w:abstractNumId w:val="30"/>
  </w:num>
  <w:num w:numId="20" w16cid:durableId="1232542762">
    <w:abstractNumId w:val="22"/>
  </w:num>
  <w:num w:numId="21" w16cid:durableId="1198542198">
    <w:abstractNumId w:val="24"/>
  </w:num>
  <w:num w:numId="22" w16cid:durableId="1638559757">
    <w:abstractNumId w:val="21"/>
  </w:num>
  <w:num w:numId="23" w16cid:durableId="1079790376">
    <w:abstractNumId w:val="5"/>
  </w:num>
  <w:num w:numId="24" w16cid:durableId="1429227797">
    <w:abstractNumId w:val="35"/>
  </w:num>
  <w:num w:numId="25" w16cid:durableId="213320875">
    <w:abstractNumId w:val="27"/>
  </w:num>
  <w:num w:numId="26" w16cid:durableId="1855221141">
    <w:abstractNumId w:val="13"/>
  </w:num>
  <w:num w:numId="27" w16cid:durableId="1737582430">
    <w:abstractNumId w:val="10"/>
  </w:num>
  <w:num w:numId="28" w16cid:durableId="777524276">
    <w:abstractNumId w:val="32"/>
  </w:num>
  <w:num w:numId="29" w16cid:durableId="759956858">
    <w:abstractNumId w:val="4"/>
  </w:num>
  <w:num w:numId="30" w16cid:durableId="727535533">
    <w:abstractNumId w:val="34"/>
  </w:num>
  <w:num w:numId="31" w16cid:durableId="1767461364">
    <w:abstractNumId w:val="31"/>
  </w:num>
  <w:num w:numId="32" w16cid:durableId="1152868050">
    <w:abstractNumId w:val="9"/>
  </w:num>
  <w:num w:numId="33" w16cid:durableId="150488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0811702">
    <w:abstractNumId w:val="37"/>
  </w:num>
  <w:num w:numId="35" w16cid:durableId="1651640177">
    <w:abstractNumId w:val="8"/>
  </w:num>
  <w:num w:numId="36" w16cid:durableId="375353671">
    <w:abstractNumId w:val="29"/>
  </w:num>
  <w:num w:numId="37" w16cid:durableId="2106463705">
    <w:abstractNumId w:val="20"/>
  </w:num>
  <w:num w:numId="38" w16cid:durableId="14096943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7F"/>
    <w:rsid w:val="000011C7"/>
    <w:rsid w:val="00001A41"/>
    <w:rsid w:val="00006742"/>
    <w:rsid w:val="0001478B"/>
    <w:rsid w:val="00014DF1"/>
    <w:rsid w:val="00022AB1"/>
    <w:rsid w:val="0002656B"/>
    <w:rsid w:val="000321D4"/>
    <w:rsid w:val="00042699"/>
    <w:rsid w:val="0004650F"/>
    <w:rsid w:val="0004656D"/>
    <w:rsid w:val="00054356"/>
    <w:rsid w:val="00061D1C"/>
    <w:rsid w:val="0006295A"/>
    <w:rsid w:val="00065FE2"/>
    <w:rsid w:val="000705A5"/>
    <w:rsid w:val="00084272"/>
    <w:rsid w:val="000B643D"/>
    <w:rsid w:val="000D195C"/>
    <w:rsid w:val="000E0FEE"/>
    <w:rsid w:val="000E15CA"/>
    <w:rsid w:val="001039FB"/>
    <w:rsid w:val="00115C0C"/>
    <w:rsid w:val="00124B27"/>
    <w:rsid w:val="00126BEF"/>
    <w:rsid w:val="00127BFC"/>
    <w:rsid w:val="00150767"/>
    <w:rsid w:val="0015098E"/>
    <w:rsid w:val="0015553D"/>
    <w:rsid w:val="00162F99"/>
    <w:rsid w:val="001661E3"/>
    <w:rsid w:val="00190DC0"/>
    <w:rsid w:val="00191A94"/>
    <w:rsid w:val="001A2C79"/>
    <w:rsid w:val="001C1DF3"/>
    <w:rsid w:val="001C4B5D"/>
    <w:rsid w:val="001C7303"/>
    <w:rsid w:val="001C75FB"/>
    <w:rsid w:val="001D2B1D"/>
    <w:rsid w:val="001D70E6"/>
    <w:rsid w:val="001E210B"/>
    <w:rsid w:val="001E3FD0"/>
    <w:rsid w:val="001E57D3"/>
    <w:rsid w:val="001F6CE8"/>
    <w:rsid w:val="00202193"/>
    <w:rsid w:val="00205566"/>
    <w:rsid w:val="00211F2D"/>
    <w:rsid w:val="0021417A"/>
    <w:rsid w:val="002154A1"/>
    <w:rsid w:val="00216E7E"/>
    <w:rsid w:val="0022617B"/>
    <w:rsid w:val="00241EB0"/>
    <w:rsid w:val="00242F72"/>
    <w:rsid w:val="00244D1E"/>
    <w:rsid w:val="0026624F"/>
    <w:rsid w:val="00277E5B"/>
    <w:rsid w:val="00295DCE"/>
    <w:rsid w:val="0029753E"/>
    <w:rsid w:val="002B2A57"/>
    <w:rsid w:val="002C01E6"/>
    <w:rsid w:val="002C3D91"/>
    <w:rsid w:val="002D13AF"/>
    <w:rsid w:val="002D5645"/>
    <w:rsid w:val="002E0FB3"/>
    <w:rsid w:val="002F637F"/>
    <w:rsid w:val="00302790"/>
    <w:rsid w:val="00315446"/>
    <w:rsid w:val="00343B92"/>
    <w:rsid w:val="00353F9C"/>
    <w:rsid w:val="00361703"/>
    <w:rsid w:val="00371E8B"/>
    <w:rsid w:val="003776E5"/>
    <w:rsid w:val="0038055C"/>
    <w:rsid w:val="003A0079"/>
    <w:rsid w:val="003B5ECF"/>
    <w:rsid w:val="003B68D1"/>
    <w:rsid w:val="003C422E"/>
    <w:rsid w:val="003D302E"/>
    <w:rsid w:val="003E6659"/>
    <w:rsid w:val="003F3767"/>
    <w:rsid w:val="00404169"/>
    <w:rsid w:val="00404EBD"/>
    <w:rsid w:val="00417EF5"/>
    <w:rsid w:val="00420DE2"/>
    <w:rsid w:val="00421776"/>
    <w:rsid w:val="0043043D"/>
    <w:rsid w:val="00432C27"/>
    <w:rsid w:val="00434AE5"/>
    <w:rsid w:val="00450D26"/>
    <w:rsid w:val="00451AD6"/>
    <w:rsid w:val="00453FF5"/>
    <w:rsid w:val="00454F3B"/>
    <w:rsid w:val="0046013D"/>
    <w:rsid w:val="00474AA1"/>
    <w:rsid w:val="00484685"/>
    <w:rsid w:val="00494E14"/>
    <w:rsid w:val="00495B0C"/>
    <w:rsid w:val="004A577A"/>
    <w:rsid w:val="004A5F96"/>
    <w:rsid w:val="004B0B9F"/>
    <w:rsid w:val="004B58EE"/>
    <w:rsid w:val="004C5BFC"/>
    <w:rsid w:val="004C799F"/>
    <w:rsid w:val="004E6FA1"/>
    <w:rsid w:val="004E7BC3"/>
    <w:rsid w:val="004F0D5E"/>
    <w:rsid w:val="005059C9"/>
    <w:rsid w:val="00505D98"/>
    <w:rsid w:val="00510E8F"/>
    <w:rsid w:val="00512A55"/>
    <w:rsid w:val="00514B5B"/>
    <w:rsid w:val="005346FC"/>
    <w:rsid w:val="0053675E"/>
    <w:rsid w:val="00541199"/>
    <w:rsid w:val="005427B6"/>
    <w:rsid w:val="00564D96"/>
    <w:rsid w:val="00565406"/>
    <w:rsid w:val="00567681"/>
    <w:rsid w:val="00574A8E"/>
    <w:rsid w:val="0057650D"/>
    <w:rsid w:val="0057799C"/>
    <w:rsid w:val="00582DF0"/>
    <w:rsid w:val="00590886"/>
    <w:rsid w:val="005A0BCE"/>
    <w:rsid w:val="005C0BFE"/>
    <w:rsid w:val="005E12BD"/>
    <w:rsid w:val="005E20E9"/>
    <w:rsid w:val="005E3166"/>
    <w:rsid w:val="005E7340"/>
    <w:rsid w:val="005F59ED"/>
    <w:rsid w:val="006040A7"/>
    <w:rsid w:val="006109A2"/>
    <w:rsid w:val="00622EC1"/>
    <w:rsid w:val="006562EA"/>
    <w:rsid w:val="0067212B"/>
    <w:rsid w:val="00682E70"/>
    <w:rsid w:val="00683B3D"/>
    <w:rsid w:val="00691E63"/>
    <w:rsid w:val="006A1AA1"/>
    <w:rsid w:val="006A6172"/>
    <w:rsid w:val="006B05BB"/>
    <w:rsid w:val="006D42AA"/>
    <w:rsid w:val="006E0D6C"/>
    <w:rsid w:val="006E5E4B"/>
    <w:rsid w:val="006E7A7F"/>
    <w:rsid w:val="006F2C80"/>
    <w:rsid w:val="0070631A"/>
    <w:rsid w:val="007103DE"/>
    <w:rsid w:val="00723269"/>
    <w:rsid w:val="0072352E"/>
    <w:rsid w:val="007312B2"/>
    <w:rsid w:val="007433CE"/>
    <w:rsid w:val="00763D86"/>
    <w:rsid w:val="00763E97"/>
    <w:rsid w:val="007666EB"/>
    <w:rsid w:val="0076719E"/>
    <w:rsid w:val="00773450"/>
    <w:rsid w:val="00780EA3"/>
    <w:rsid w:val="00781DEB"/>
    <w:rsid w:val="00782460"/>
    <w:rsid w:val="00793906"/>
    <w:rsid w:val="007A4335"/>
    <w:rsid w:val="007B3A94"/>
    <w:rsid w:val="007B42BC"/>
    <w:rsid w:val="007C3046"/>
    <w:rsid w:val="007C4C1B"/>
    <w:rsid w:val="007C7AF2"/>
    <w:rsid w:val="008072BD"/>
    <w:rsid w:val="00814D42"/>
    <w:rsid w:val="008154C9"/>
    <w:rsid w:val="0081693F"/>
    <w:rsid w:val="008302A2"/>
    <w:rsid w:val="00831497"/>
    <w:rsid w:val="00831711"/>
    <w:rsid w:val="0083260A"/>
    <w:rsid w:val="00837CF4"/>
    <w:rsid w:val="008440E9"/>
    <w:rsid w:val="008445EC"/>
    <w:rsid w:val="008555AD"/>
    <w:rsid w:val="00856F11"/>
    <w:rsid w:val="00856F8B"/>
    <w:rsid w:val="0087681F"/>
    <w:rsid w:val="008A571B"/>
    <w:rsid w:val="008D1529"/>
    <w:rsid w:val="008D244E"/>
    <w:rsid w:val="008E6B35"/>
    <w:rsid w:val="008F02C0"/>
    <w:rsid w:val="008F513A"/>
    <w:rsid w:val="009075BC"/>
    <w:rsid w:val="009149B7"/>
    <w:rsid w:val="009253A0"/>
    <w:rsid w:val="00927666"/>
    <w:rsid w:val="00930AD0"/>
    <w:rsid w:val="0093394B"/>
    <w:rsid w:val="009477BC"/>
    <w:rsid w:val="00961CFD"/>
    <w:rsid w:val="00972A82"/>
    <w:rsid w:val="0097680F"/>
    <w:rsid w:val="00985780"/>
    <w:rsid w:val="009943D8"/>
    <w:rsid w:val="00997566"/>
    <w:rsid w:val="009A360C"/>
    <w:rsid w:val="009A3A37"/>
    <w:rsid w:val="009A3AE6"/>
    <w:rsid w:val="009B1C43"/>
    <w:rsid w:val="009B7FED"/>
    <w:rsid w:val="009C18EF"/>
    <w:rsid w:val="009F5F32"/>
    <w:rsid w:val="00A42ABD"/>
    <w:rsid w:val="00A459D8"/>
    <w:rsid w:val="00A51A22"/>
    <w:rsid w:val="00A61805"/>
    <w:rsid w:val="00A82D93"/>
    <w:rsid w:val="00A84B30"/>
    <w:rsid w:val="00A8634D"/>
    <w:rsid w:val="00A9159A"/>
    <w:rsid w:val="00AA21ED"/>
    <w:rsid w:val="00AA3933"/>
    <w:rsid w:val="00AB0FA9"/>
    <w:rsid w:val="00AB6391"/>
    <w:rsid w:val="00AC4CC7"/>
    <w:rsid w:val="00AE35FE"/>
    <w:rsid w:val="00AF5175"/>
    <w:rsid w:val="00B03D62"/>
    <w:rsid w:val="00B32A16"/>
    <w:rsid w:val="00B3554E"/>
    <w:rsid w:val="00B37BBB"/>
    <w:rsid w:val="00B432E1"/>
    <w:rsid w:val="00B43526"/>
    <w:rsid w:val="00B5447B"/>
    <w:rsid w:val="00B57FE8"/>
    <w:rsid w:val="00B60615"/>
    <w:rsid w:val="00B60ECE"/>
    <w:rsid w:val="00B65A33"/>
    <w:rsid w:val="00B7584C"/>
    <w:rsid w:val="00B86475"/>
    <w:rsid w:val="00BB1B8C"/>
    <w:rsid w:val="00BB1F4C"/>
    <w:rsid w:val="00BC0D0B"/>
    <w:rsid w:val="00BD43C0"/>
    <w:rsid w:val="00BE3705"/>
    <w:rsid w:val="00BF51B9"/>
    <w:rsid w:val="00BF7E9A"/>
    <w:rsid w:val="00C02F3C"/>
    <w:rsid w:val="00C03CE5"/>
    <w:rsid w:val="00C0419E"/>
    <w:rsid w:val="00C24F84"/>
    <w:rsid w:val="00C2665A"/>
    <w:rsid w:val="00C271A2"/>
    <w:rsid w:val="00C33650"/>
    <w:rsid w:val="00C35D71"/>
    <w:rsid w:val="00C50354"/>
    <w:rsid w:val="00C65D3C"/>
    <w:rsid w:val="00C75DCB"/>
    <w:rsid w:val="00C830E5"/>
    <w:rsid w:val="00C85B2B"/>
    <w:rsid w:val="00C92DC2"/>
    <w:rsid w:val="00C94DEC"/>
    <w:rsid w:val="00CB1A33"/>
    <w:rsid w:val="00CB1DF1"/>
    <w:rsid w:val="00CB6C94"/>
    <w:rsid w:val="00CC24C8"/>
    <w:rsid w:val="00CF3857"/>
    <w:rsid w:val="00D03FD4"/>
    <w:rsid w:val="00D05784"/>
    <w:rsid w:val="00D11290"/>
    <w:rsid w:val="00D1252C"/>
    <w:rsid w:val="00D12D72"/>
    <w:rsid w:val="00D218EA"/>
    <w:rsid w:val="00D2565C"/>
    <w:rsid w:val="00D43876"/>
    <w:rsid w:val="00D45FED"/>
    <w:rsid w:val="00D566F3"/>
    <w:rsid w:val="00D6692D"/>
    <w:rsid w:val="00D70FEF"/>
    <w:rsid w:val="00D71F6A"/>
    <w:rsid w:val="00D83791"/>
    <w:rsid w:val="00D84660"/>
    <w:rsid w:val="00D86550"/>
    <w:rsid w:val="00D86613"/>
    <w:rsid w:val="00DB27AD"/>
    <w:rsid w:val="00DF6BCD"/>
    <w:rsid w:val="00E00AAD"/>
    <w:rsid w:val="00E031E5"/>
    <w:rsid w:val="00E138C4"/>
    <w:rsid w:val="00E26832"/>
    <w:rsid w:val="00E3416E"/>
    <w:rsid w:val="00E34CB5"/>
    <w:rsid w:val="00E35868"/>
    <w:rsid w:val="00E67FF9"/>
    <w:rsid w:val="00E74D42"/>
    <w:rsid w:val="00E91F92"/>
    <w:rsid w:val="00EA456E"/>
    <w:rsid w:val="00EA58A1"/>
    <w:rsid w:val="00EA6B78"/>
    <w:rsid w:val="00EB49FC"/>
    <w:rsid w:val="00EB5B2B"/>
    <w:rsid w:val="00EC6483"/>
    <w:rsid w:val="00EC7869"/>
    <w:rsid w:val="00EE1424"/>
    <w:rsid w:val="00EE4E3A"/>
    <w:rsid w:val="00EE6D40"/>
    <w:rsid w:val="00EE7FE6"/>
    <w:rsid w:val="00EF172C"/>
    <w:rsid w:val="00EF4C80"/>
    <w:rsid w:val="00EF4E7F"/>
    <w:rsid w:val="00F25078"/>
    <w:rsid w:val="00F307F7"/>
    <w:rsid w:val="00F324BB"/>
    <w:rsid w:val="00F41B95"/>
    <w:rsid w:val="00F42A94"/>
    <w:rsid w:val="00F4480C"/>
    <w:rsid w:val="00F46108"/>
    <w:rsid w:val="00F479D2"/>
    <w:rsid w:val="00F51243"/>
    <w:rsid w:val="00F53559"/>
    <w:rsid w:val="00F54D44"/>
    <w:rsid w:val="00F66857"/>
    <w:rsid w:val="00F67653"/>
    <w:rsid w:val="00F729F9"/>
    <w:rsid w:val="00F73F13"/>
    <w:rsid w:val="00F758D3"/>
    <w:rsid w:val="00F87CA6"/>
    <w:rsid w:val="00F92AF4"/>
    <w:rsid w:val="00F960C3"/>
    <w:rsid w:val="00F96C5E"/>
    <w:rsid w:val="00FA188D"/>
    <w:rsid w:val="00FA48B9"/>
    <w:rsid w:val="00FA5977"/>
    <w:rsid w:val="00FC48C4"/>
    <w:rsid w:val="00FC6490"/>
    <w:rsid w:val="00FD0FC3"/>
    <w:rsid w:val="00FD1249"/>
    <w:rsid w:val="00FD2EAE"/>
    <w:rsid w:val="00FD2F2C"/>
    <w:rsid w:val="00FD4AE3"/>
    <w:rsid w:val="00FE2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4001"/>
  <w15:docId w15:val="{D8B18D99-B8C6-462F-917F-6ACEE1B6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A94"/>
    <w:pPr>
      <w:widowControl/>
      <w:autoSpaceDN/>
      <w:textAlignment w:val="auto"/>
    </w:pPr>
    <w:rPr>
      <w:rFonts w:eastAsia="Times New Roman" w:cs="Times New Roman"/>
      <w:kern w:val="0"/>
      <w:lang w:eastAsia="pl-PL" w:bidi="ar-SA"/>
    </w:rPr>
  </w:style>
  <w:style w:type="paragraph" w:styleId="Nagwek1">
    <w:name w:val="heading 1"/>
    <w:basedOn w:val="Standard"/>
    <w:next w:val="Standard"/>
    <w:uiPriority w:val="9"/>
    <w:qFormat/>
    <w:rsid w:val="00CF3857"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CF3857"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rsid w:val="00CF3857"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CF385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CF385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CF3857"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rsid w:val="00CF3857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rsid w:val="00CF3857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F3857"/>
    <w:pPr>
      <w:suppressAutoHyphens/>
    </w:pPr>
  </w:style>
  <w:style w:type="paragraph" w:styleId="Nagwek">
    <w:name w:val="header"/>
    <w:basedOn w:val="Standard"/>
    <w:next w:val="Textbody"/>
    <w:rsid w:val="00CF385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CF3857"/>
    <w:pPr>
      <w:spacing w:after="120"/>
    </w:pPr>
  </w:style>
  <w:style w:type="paragraph" w:styleId="Lista">
    <w:name w:val="List"/>
    <w:basedOn w:val="Textbody"/>
    <w:rsid w:val="00CF3857"/>
  </w:style>
  <w:style w:type="paragraph" w:styleId="Legenda">
    <w:name w:val="caption"/>
    <w:basedOn w:val="Standard"/>
    <w:rsid w:val="00CF385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F3857"/>
    <w:pPr>
      <w:suppressLineNumbers/>
    </w:pPr>
  </w:style>
  <w:style w:type="paragraph" w:customStyle="1" w:styleId="Textbodyindent">
    <w:name w:val="Text body indent"/>
    <w:basedOn w:val="Standard"/>
    <w:rsid w:val="00CF3857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rsid w:val="00CF3857"/>
    <w:pPr>
      <w:spacing w:line="360" w:lineRule="auto"/>
      <w:ind w:left="360"/>
    </w:pPr>
  </w:style>
  <w:style w:type="paragraph" w:styleId="Stopka">
    <w:name w:val="footer"/>
    <w:basedOn w:val="Standard"/>
    <w:rsid w:val="00CF3857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sid w:val="00CF3857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rsid w:val="00CF3857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rsid w:val="00CF3857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rsid w:val="00CF3857"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rsid w:val="00CF3857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rsid w:val="00CF3857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rsid w:val="00CF3857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  <w:rsid w:val="00CF3857"/>
  </w:style>
  <w:style w:type="paragraph" w:customStyle="1" w:styleId="TableContents">
    <w:name w:val="Table Contents"/>
    <w:basedOn w:val="Standard"/>
    <w:rsid w:val="00CF3857"/>
    <w:pPr>
      <w:suppressLineNumbers/>
    </w:pPr>
  </w:style>
  <w:style w:type="paragraph" w:customStyle="1" w:styleId="TableHeading">
    <w:name w:val="Table Heading"/>
    <w:basedOn w:val="TableContents"/>
    <w:rsid w:val="00CF3857"/>
    <w:pPr>
      <w:jc w:val="center"/>
    </w:pPr>
    <w:rPr>
      <w:b/>
      <w:bCs/>
    </w:rPr>
  </w:style>
  <w:style w:type="paragraph" w:styleId="Akapitzlist">
    <w:name w:val="List Paragraph"/>
    <w:basedOn w:val="Standard"/>
    <w:uiPriority w:val="1"/>
    <w:qFormat/>
    <w:rsid w:val="00CF3857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rsid w:val="00CF3857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sid w:val="00CF3857"/>
    <w:rPr>
      <w:color w:val="0000FF"/>
      <w:u w:val="single"/>
    </w:rPr>
  </w:style>
  <w:style w:type="character" w:customStyle="1" w:styleId="WW8Num28z0">
    <w:name w:val="WW8Num28z0"/>
    <w:rsid w:val="00CF3857"/>
    <w:rPr>
      <w:rFonts w:ascii="Symbol" w:hAnsi="Symbol"/>
      <w:color w:val="000000"/>
    </w:rPr>
  </w:style>
  <w:style w:type="character" w:customStyle="1" w:styleId="WW8Num4z0">
    <w:name w:val="WW8Num4z0"/>
    <w:rsid w:val="00CF3857"/>
    <w:rPr>
      <w:rFonts w:ascii="StarSymbol, 'Arial Unicode MS'" w:hAnsi="StarSymbol, 'Arial Unicode MS'"/>
    </w:rPr>
  </w:style>
  <w:style w:type="character" w:customStyle="1" w:styleId="WW8Num5z0">
    <w:name w:val="WW8Num5z0"/>
    <w:rsid w:val="00CF3857"/>
    <w:rPr>
      <w:rFonts w:ascii="StarSymbol, 'Arial Unicode MS'" w:hAnsi="StarSymbol, 'Arial Unicode MS'"/>
    </w:rPr>
  </w:style>
  <w:style w:type="character" w:customStyle="1" w:styleId="WW8Num6z0">
    <w:name w:val="WW8Num6z0"/>
    <w:rsid w:val="00CF3857"/>
    <w:rPr>
      <w:rFonts w:ascii="Wingdings" w:hAnsi="Wingdings"/>
    </w:rPr>
  </w:style>
  <w:style w:type="character" w:customStyle="1" w:styleId="WW8Num7z0">
    <w:name w:val="WW8Num7z0"/>
    <w:rsid w:val="00CF3857"/>
    <w:rPr>
      <w:rFonts w:ascii="Wingdings" w:hAnsi="Wingdings"/>
    </w:rPr>
  </w:style>
  <w:style w:type="character" w:customStyle="1" w:styleId="WW8Num7z1">
    <w:name w:val="WW8Num7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sid w:val="00CF3857"/>
    <w:rPr>
      <w:rFonts w:ascii="Symbol" w:hAnsi="Symbol"/>
    </w:rPr>
  </w:style>
  <w:style w:type="character" w:customStyle="1" w:styleId="WW8Num8z0">
    <w:name w:val="WW8Num8z0"/>
    <w:rsid w:val="00CF3857"/>
    <w:rPr>
      <w:b w:val="0"/>
      <w:i w:val="0"/>
      <w:sz w:val="24"/>
      <w:szCs w:val="24"/>
    </w:rPr>
  </w:style>
  <w:style w:type="character" w:customStyle="1" w:styleId="WW8Num8z1">
    <w:name w:val="WW8Num8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sid w:val="00CF3857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sid w:val="00CF3857"/>
    <w:rPr>
      <w:rFonts w:ascii="Wingdings" w:hAnsi="Wingdings"/>
    </w:rPr>
  </w:style>
  <w:style w:type="character" w:customStyle="1" w:styleId="WW8Num11z1">
    <w:name w:val="WW8Num11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sid w:val="00CF3857"/>
    <w:rPr>
      <w:rFonts w:ascii="Symbol" w:hAnsi="Symbol"/>
    </w:rPr>
  </w:style>
  <w:style w:type="character" w:customStyle="1" w:styleId="WW8Num12z0">
    <w:name w:val="WW8Num12z0"/>
    <w:rsid w:val="00CF3857"/>
    <w:rPr>
      <w:rFonts w:ascii="Wingdings" w:hAnsi="Wingdings"/>
    </w:rPr>
  </w:style>
  <w:style w:type="character" w:customStyle="1" w:styleId="WW8Num13z0">
    <w:name w:val="WW8Num13z0"/>
    <w:rsid w:val="00CF3857"/>
    <w:rPr>
      <w:rFonts w:ascii="Wingdings" w:hAnsi="Wingdings"/>
    </w:rPr>
  </w:style>
  <w:style w:type="character" w:customStyle="1" w:styleId="WW8Num13z1">
    <w:name w:val="WW8Num13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sid w:val="00CF3857"/>
    <w:rPr>
      <w:rFonts w:ascii="Symbol" w:hAnsi="Symbol"/>
    </w:rPr>
  </w:style>
  <w:style w:type="character" w:customStyle="1" w:styleId="WW8Num15z0">
    <w:name w:val="WW8Num15z0"/>
    <w:rsid w:val="00CF3857"/>
    <w:rPr>
      <w:rFonts w:ascii="Wingdings" w:hAnsi="Wingdings"/>
    </w:rPr>
  </w:style>
  <w:style w:type="character" w:customStyle="1" w:styleId="WW8Num16z0">
    <w:name w:val="WW8Num16z0"/>
    <w:rsid w:val="00CF3857"/>
    <w:rPr>
      <w:rFonts w:ascii="Wingdings" w:hAnsi="Wingdings"/>
    </w:rPr>
  </w:style>
  <w:style w:type="character" w:customStyle="1" w:styleId="FootnoteSymbol">
    <w:name w:val="Footnote Symbol"/>
    <w:rsid w:val="00CF3857"/>
    <w:rPr>
      <w:position w:val="0"/>
      <w:vertAlign w:val="superscript"/>
    </w:rPr>
  </w:style>
  <w:style w:type="character" w:customStyle="1" w:styleId="WW8Num17z1">
    <w:name w:val="WW8Num17z1"/>
    <w:rsid w:val="00CF3857"/>
    <w:rPr>
      <w:rFonts w:ascii="Symbol" w:hAnsi="Symbol"/>
    </w:rPr>
  </w:style>
  <w:style w:type="character" w:customStyle="1" w:styleId="WW8Num18z1">
    <w:name w:val="WW8Num18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sid w:val="00CF3857"/>
    <w:rPr>
      <w:rFonts w:ascii="Symbol" w:hAnsi="Symbol"/>
    </w:rPr>
  </w:style>
  <w:style w:type="character" w:customStyle="1" w:styleId="WW8Num23z1">
    <w:name w:val="WW8Num23z1"/>
    <w:rsid w:val="00CF3857"/>
    <w:rPr>
      <w:rFonts w:ascii="Wingdings" w:hAnsi="Wingdings"/>
      <w:i w:val="0"/>
    </w:rPr>
  </w:style>
  <w:style w:type="character" w:customStyle="1" w:styleId="WW8Num23z3">
    <w:name w:val="WW8Num23z3"/>
    <w:rsid w:val="00CF3857"/>
    <w:rPr>
      <w:rFonts w:ascii="Symbol" w:hAnsi="Symbol"/>
    </w:rPr>
  </w:style>
  <w:style w:type="character" w:customStyle="1" w:styleId="WW8Num24z0">
    <w:name w:val="WW8Num24z0"/>
    <w:rsid w:val="00CF3857"/>
    <w:rPr>
      <w:i w:val="0"/>
    </w:rPr>
  </w:style>
  <w:style w:type="character" w:customStyle="1" w:styleId="Footnoteanchor">
    <w:name w:val="Footnote anchor"/>
    <w:rsid w:val="00CF3857"/>
    <w:rPr>
      <w:position w:val="0"/>
      <w:vertAlign w:val="superscript"/>
    </w:rPr>
  </w:style>
  <w:style w:type="character" w:customStyle="1" w:styleId="NumberingSymbols">
    <w:name w:val="Numbering Symbols"/>
    <w:rsid w:val="00CF3857"/>
    <w:rPr>
      <w:rFonts w:ascii="Arial" w:hAnsi="Arial"/>
      <w:b w:val="0"/>
      <w:bCs w:val="0"/>
    </w:rPr>
  </w:style>
  <w:style w:type="character" w:customStyle="1" w:styleId="BulletSymbols">
    <w:name w:val="Bullet Symbols"/>
    <w:rsid w:val="00CF3857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rsid w:val="00CF3857"/>
    <w:pPr>
      <w:numPr>
        <w:numId w:val="1"/>
      </w:numPr>
    </w:pPr>
  </w:style>
  <w:style w:type="numbering" w:customStyle="1" w:styleId="WW8Num3">
    <w:name w:val="WW8Num3"/>
    <w:basedOn w:val="Bezlisty"/>
    <w:rsid w:val="00CF3857"/>
    <w:pPr>
      <w:numPr>
        <w:numId w:val="2"/>
      </w:numPr>
    </w:pPr>
  </w:style>
  <w:style w:type="numbering" w:customStyle="1" w:styleId="WW8Num28">
    <w:name w:val="WW8Num28"/>
    <w:basedOn w:val="Bezlisty"/>
    <w:rsid w:val="00CF3857"/>
    <w:pPr>
      <w:numPr>
        <w:numId w:val="3"/>
      </w:numPr>
    </w:pPr>
  </w:style>
  <w:style w:type="numbering" w:customStyle="1" w:styleId="WW8Num4">
    <w:name w:val="WW8Num4"/>
    <w:basedOn w:val="Bezlisty"/>
    <w:rsid w:val="00CF3857"/>
    <w:pPr>
      <w:numPr>
        <w:numId w:val="4"/>
      </w:numPr>
    </w:pPr>
  </w:style>
  <w:style w:type="numbering" w:customStyle="1" w:styleId="WW8Num5">
    <w:name w:val="WW8Num5"/>
    <w:basedOn w:val="Bezlisty"/>
    <w:rsid w:val="00CF3857"/>
    <w:pPr>
      <w:numPr>
        <w:numId w:val="5"/>
      </w:numPr>
    </w:pPr>
  </w:style>
  <w:style w:type="numbering" w:customStyle="1" w:styleId="WW8Num6">
    <w:name w:val="WW8Num6"/>
    <w:basedOn w:val="Bezlisty"/>
    <w:rsid w:val="00CF3857"/>
    <w:pPr>
      <w:numPr>
        <w:numId w:val="6"/>
      </w:numPr>
    </w:pPr>
  </w:style>
  <w:style w:type="numbering" w:customStyle="1" w:styleId="WW8Num7">
    <w:name w:val="WW8Num7"/>
    <w:basedOn w:val="Bezlisty"/>
    <w:rsid w:val="00CF3857"/>
    <w:pPr>
      <w:numPr>
        <w:numId w:val="7"/>
      </w:numPr>
    </w:pPr>
  </w:style>
  <w:style w:type="numbering" w:customStyle="1" w:styleId="WW8Num8">
    <w:name w:val="WW8Num8"/>
    <w:basedOn w:val="Bezlisty"/>
    <w:rsid w:val="00CF3857"/>
    <w:pPr>
      <w:numPr>
        <w:numId w:val="8"/>
      </w:numPr>
    </w:pPr>
  </w:style>
  <w:style w:type="numbering" w:customStyle="1" w:styleId="WW8Num9">
    <w:name w:val="WW8Num9"/>
    <w:basedOn w:val="Bezlisty"/>
    <w:rsid w:val="00CF3857"/>
    <w:pPr>
      <w:numPr>
        <w:numId w:val="9"/>
      </w:numPr>
    </w:pPr>
  </w:style>
  <w:style w:type="numbering" w:customStyle="1" w:styleId="WW8Num10">
    <w:name w:val="WW8Num10"/>
    <w:basedOn w:val="Bezlisty"/>
    <w:rsid w:val="00CF3857"/>
    <w:pPr>
      <w:numPr>
        <w:numId w:val="10"/>
      </w:numPr>
    </w:pPr>
  </w:style>
  <w:style w:type="numbering" w:customStyle="1" w:styleId="WW8Num29">
    <w:name w:val="WW8Num29"/>
    <w:basedOn w:val="Bezlisty"/>
    <w:rsid w:val="00CF3857"/>
    <w:pPr>
      <w:numPr>
        <w:numId w:val="11"/>
      </w:numPr>
    </w:pPr>
  </w:style>
  <w:style w:type="numbering" w:customStyle="1" w:styleId="WW8Num11">
    <w:name w:val="WW8Num11"/>
    <w:basedOn w:val="Bezlisty"/>
    <w:rsid w:val="00CF3857"/>
    <w:pPr>
      <w:numPr>
        <w:numId w:val="12"/>
      </w:numPr>
    </w:pPr>
  </w:style>
  <w:style w:type="numbering" w:customStyle="1" w:styleId="WW8Num12">
    <w:name w:val="WW8Num12"/>
    <w:basedOn w:val="Bezlisty"/>
    <w:rsid w:val="00CF3857"/>
    <w:pPr>
      <w:numPr>
        <w:numId w:val="13"/>
      </w:numPr>
    </w:pPr>
  </w:style>
  <w:style w:type="numbering" w:customStyle="1" w:styleId="WW8Num13">
    <w:name w:val="WW8Num13"/>
    <w:basedOn w:val="Bezlisty"/>
    <w:rsid w:val="00CF3857"/>
    <w:pPr>
      <w:numPr>
        <w:numId w:val="14"/>
      </w:numPr>
    </w:pPr>
  </w:style>
  <w:style w:type="numbering" w:customStyle="1" w:styleId="WW8Num14">
    <w:name w:val="WW8Num14"/>
    <w:basedOn w:val="Bezlisty"/>
    <w:rsid w:val="00CF3857"/>
    <w:pPr>
      <w:numPr>
        <w:numId w:val="15"/>
      </w:numPr>
    </w:pPr>
  </w:style>
  <w:style w:type="numbering" w:customStyle="1" w:styleId="WW8Num15">
    <w:name w:val="WW8Num15"/>
    <w:basedOn w:val="Bezlisty"/>
    <w:rsid w:val="00CF3857"/>
    <w:pPr>
      <w:numPr>
        <w:numId w:val="16"/>
      </w:numPr>
    </w:pPr>
  </w:style>
  <w:style w:type="numbering" w:customStyle="1" w:styleId="WW8Num16">
    <w:name w:val="WW8Num16"/>
    <w:basedOn w:val="Bezlisty"/>
    <w:rsid w:val="00CF3857"/>
    <w:pPr>
      <w:numPr>
        <w:numId w:val="17"/>
      </w:numPr>
    </w:pPr>
  </w:style>
  <w:style w:type="numbering" w:customStyle="1" w:styleId="WW8Num17">
    <w:name w:val="WW8Num17"/>
    <w:basedOn w:val="Bezlisty"/>
    <w:rsid w:val="00CF3857"/>
    <w:pPr>
      <w:numPr>
        <w:numId w:val="18"/>
      </w:numPr>
    </w:pPr>
  </w:style>
  <w:style w:type="numbering" w:customStyle="1" w:styleId="WW8Num26">
    <w:name w:val="WW8Num26"/>
    <w:basedOn w:val="Bezlisty"/>
    <w:rsid w:val="00CF3857"/>
    <w:pPr>
      <w:numPr>
        <w:numId w:val="19"/>
      </w:numPr>
    </w:pPr>
  </w:style>
  <w:style w:type="numbering" w:customStyle="1" w:styleId="WW8Num18">
    <w:name w:val="WW8Num18"/>
    <w:basedOn w:val="Bezlisty"/>
    <w:rsid w:val="00CF3857"/>
    <w:pPr>
      <w:numPr>
        <w:numId w:val="20"/>
      </w:numPr>
    </w:pPr>
  </w:style>
  <w:style w:type="numbering" w:customStyle="1" w:styleId="WW8Num19">
    <w:name w:val="WW8Num19"/>
    <w:basedOn w:val="Bezlisty"/>
    <w:rsid w:val="00CF3857"/>
    <w:pPr>
      <w:numPr>
        <w:numId w:val="21"/>
      </w:numPr>
    </w:pPr>
  </w:style>
  <w:style w:type="numbering" w:customStyle="1" w:styleId="WW8Num27">
    <w:name w:val="WW8Num27"/>
    <w:basedOn w:val="Bezlisty"/>
    <w:rsid w:val="00CF3857"/>
    <w:pPr>
      <w:numPr>
        <w:numId w:val="22"/>
      </w:numPr>
    </w:pPr>
  </w:style>
  <w:style w:type="numbering" w:customStyle="1" w:styleId="WW8Num20">
    <w:name w:val="WW8Num20"/>
    <w:basedOn w:val="Bezlisty"/>
    <w:rsid w:val="00CF3857"/>
    <w:pPr>
      <w:numPr>
        <w:numId w:val="23"/>
      </w:numPr>
    </w:pPr>
  </w:style>
  <w:style w:type="numbering" w:customStyle="1" w:styleId="WW8Num21">
    <w:name w:val="WW8Num21"/>
    <w:basedOn w:val="Bezlisty"/>
    <w:rsid w:val="00CF3857"/>
    <w:pPr>
      <w:numPr>
        <w:numId w:val="24"/>
      </w:numPr>
    </w:pPr>
  </w:style>
  <w:style w:type="numbering" w:customStyle="1" w:styleId="WW8Num22">
    <w:name w:val="WW8Num22"/>
    <w:basedOn w:val="Bezlisty"/>
    <w:rsid w:val="00CF3857"/>
    <w:pPr>
      <w:numPr>
        <w:numId w:val="25"/>
      </w:numPr>
    </w:pPr>
  </w:style>
  <w:style w:type="numbering" w:customStyle="1" w:styleId="WW8Num23">
    <w:name w:val="WW8Num23"/>
    <w:basedOn w:val="Bezlisty"/>
    <w:rsid w:val="00CF3857"/>
    <w:pPr>
      <w:numPr>
        <w:numId w:val="26"/>
      </w:numPr>
    </w:pPr>
  </w:style>
  <w:style w:type="numbering" w:customStyle="1" w:styleId="WW8Num30">
    <w:name w:val="WW8Num30"/>
    <w:basedOn w:val="Bezlisty"/>
    <w:rsid w:val="00CF3857"/>
    <w:pPr>
      <w:numPr>
        <w:numId w:val="27"/>
      </w:numPr>
    </w:pPr>
  </w:style>
  <w:style w:type="numbering" w:customStyle="1" w:styleId="WW8Num24">
    <w:name w:val="WW8Num24"/>
    <w:basedOn w:val="Bezlisty"/>
    <w:rsid w:val="00CF3857"/>
    <w:pPr>
      <w:numPr>
        <w:numId w:val="28"/>
      </w:numPr>
    </w:pPr>
  </w:style>
  <w:style w:type="numbering" w:customStyle="1" w:styleId="WW8Num25">
    <w:name w:val="WW8Num25"/>
    <w:basedOn w:val="Bezlisty"/>
    <w:rsid w:val="00CF3857"/>
    <w:pPr>
      <w:numPr>
        <w:numId w:val="29"/>
      </w:numPr>
    </w:pPr>
  </w:style>
  <w:style w:type="numbering" w:customStyle="1" w:styleId="WW8Num1">
    <w:name w:val="WW8Num1"/>
    <w:basedOn w:val="Bezlisty"/>
    <w:rsid w:val="00CF3857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</w:pPr>
    <w:rPr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customStyle="1" w:styleId="Domylny">
    <w:name w:val="Domyślny"/>
    <w:rsid w:val="00BF51B9"/>
    <w:pPr>
      <w:widowControl/>
      <w:suppressAutoHyphens/>
      <w:autoSpaceDN/>
      <w:spacing w:after="160" w:line="259" w:lineRule="auto"/>
    </w:pPr>
    <w:rPr>
      <w:rFonts w:eastAsia="Arial" w:cs="Times New Roman"/>
      <w:color w:val="000000"/>
      <w:kern w:val="2"/>
      <w:lang w:bidi="ar-SA"/>
    </w:rPr>
  </w:style>
  <w:style w:type="character" w:customStyle="1" w:styleId="Domylnaczcionkaakapitu3">
    <w:name w:val="Domyślna czcionka akapitu3"/>
    <w:rsid w:val="00D6692D"/>
  </w:style>
  <w:style w:type="character" w:customStyle="1" w:styleId="Domylnaczcionkaakapitu1">
    <w:name w:val="Domyślna czcionka akapitu1"/>
    <w:rsid w:val="00FE2541"/>
  </w:style>
  <w:style w:type="character" w:customStyle="1" w:styleId="Mocnowyrniony">
    <w:name w:val="Mocno wyró¿niony"/>
    <w:rsid w:val="00FE2541"/>
    <w:rPr>
      <w:b/>
      <w:bCs/>
    </w:rPr>
  </w:style>
  <w:style w:type="paragraph" w:styleId="Bezodstpw">
    <w:name w:val="No Spacing"/>
    <w:qFormat/>
    <w:rsid w:val="00FE2541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Domylnaczcionkaakapitu"/>
    <w:rsid w:val="00F42A94"/>
  </w:style>
  <w:style w:type="character" w:styleId="Pogrubienie">
    <w:name w:val="Strong"/>
    <w:basedOn w:val="Domylnaczcionkaakapitu"/>
    <w:uiPriority w:val="22"/>
    <w:qFormat/>
    <w:rsid w:val="00F42A94"/>
    <w:rPr>
      <w:b/>
      <w:bCs/>
    </w:rPr>
  </w:style>
  <w:style w:type="character" w:customStyle="1" w:styleId="vkekvd">
    <w:name w:val="vkekvd"/>
    <w:basedOn w:val="Domylnaczcionkaakapitu"/>
    <w:rsid w:val="00F42A94"/>
  </w:style>
  <w:style w:type="character" w:customStyle="1" w:styleId="ifmvxd">
    <w:name w:val="ifmvxd"/>
    <w:basedOn w:val="Domylnaczcionkaakapitu"/>
    <w:rsid w:val="00F42A94"/>
  </w:style>
  <w:style w:type="character" w:customStyle="1" w:styleId="ijm6od">
    <w:name w:val="ijm6od"/>
    <w:basedOn w:val="Domylnaczcionkaakapitu"/>
    <w:rsid w:val="00F42A94"/>
  </w:style>
  <w:style w:type="paragraph" w:customStyle="1" w:styleId="z1qcye">
    <w:name w:val="z1qcye"/>
    <w:basedOn w:val="Normalny"/>
    <w:rsid w:val="00F42A94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F42A94"/>
  </w:style>
  <w:style w:type="paragraph" w:styleId="Tekstdymka">
    <w:name w:val="Balloon Text"/>
    <w:basedOn w:val="Normalny"/>
    <w:link w:val="TekstdymkaZnak"/>
    <w:uiPriority w:val="99"/>
    <w:semiHidden/>
    <w:unhideWhenUsed/>
    <w:rsid w:val="00F96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0C3"/>
    <w:rPr>
      <w:rFonts w:ascii="Tahoma" w:eastAsia="Times New Roman" w:hAnsi="Tahoma" w:cs="Tahoma"/>
      <w:kern w:val="0"/>
      <w:sz w:val="16"/>
      <w:szCs w:val="16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5B16-1640-4D01-8A57-68F73331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1684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7</cp:revision>
  <cp:lastPrinted>2026-08-04T08:45:00Z</cp:lastPrinted>
  <dcterms:created xsi:type="dcterms:W3CDTF">2026-08-04T07:03:00Z</dcterms:created>
  <dcterms:modified xsi:type="dcterms:W3CDTF">2026-08-04T08:45:00Z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